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809E2" w14:textId="1834CFAD" w:rsidR="003578E8" w:rsidRPr="00BA1734" w:rsidRDefault="003578E8" w:rsidP="003578E8">
      <w:pPr>
        <w:jc w:val="center"/>
        <w:rPr>
          <w:sz w:val="28"/>
          <w:szCs w:val="28"/>
        </w:rPr>
      </w:pPr>
      <w:r>
        <w:rPr>
          <w:sz w:val="28"/>
          <w:szCs w:val="28"/>
        </w:rPr>
        <w:t xml:space="preserve">The </w:t>
      </w:r>
      <w:r w:rsidR="00EE0864">
        <w:rPr>
          <w:sz w:val="28"/>
          <w:szCs w:val="28"/>
        </w:rPr>
        <w:t xml:space="preserve">estimates of </w:t>
      </w:r>
      <w:r>
        <w:rPr>
          <w:sz w:val="28"/>
          <w:szCs w:val="28"/>
        </w:rPr>
        <w:t>carbon dioxide emissions in Surrey</w:t>
      </w:r>
    </w:p>
    <w:p w14:paraId="1E6008EE" w14:textId="77777777" w:rsidR="003578E8" w:rsidRDefault="003578E8" w:rsidP="003578E8"/>
    <w:p w14:paraId="65436687" w14:textId="73A599A6" w:rsidR="003578E8" w:rsidRDefault="003578E8" w:rsidP="003578E8">
      <w:r>
        <w:t>This document summarises the CO</w:t>
      </w:r>
      <w:r w:rsidRPr="003578E8">
        <w:rPr>
          <w:vertAlign w:val="superscript"/>
        </w:rPr>
        <w:t>2</w:t>
      </w:r>
      <w:r>
        <w:t xml:space="preserve"> emissions data for Surrey which can also be found on </w:t>
      </w:r>
      <w:hyperlink r:id="rId6" w:history="1">
        <w:r w:rsidRPr="003578E8">
          <w:rPr>
            <w:rStyle w:val="Hyperlink"/>
          </w:rPr>
          <w:t>Surrey-</w:t>
        </w:r>
        <w:proofErr w:type="spellStart"/>
        <w:r w:rsidRPr="003578E8">
          <w:rPr>
            <w:rStyle w:val="Hyperlink"/>
          </w:rPr>
          <w:t>i</w:t>
        </w:r>
        <w:proofErr w:type="spellEnd"/>
      </w:hyperlink>
      <w:r>
        <w:t xml:space="preserve">. </w:t>
      </w:r>
    </w:p>
    <w:p w14:paraId="33046C38" w14:textId="34681E91" w:rsidR="00DA1E20" w:rsidRDefault="00DA1E20" w:rsidP="003578E8"/>
    <w:p w14:paraId="1969617E" w14:textId="41E70AEC" w:rsidR="00D71D29" w:rsidRDefault="00D679C2" w:rsidP="003578E8">
      <w:r>
        <w:t>In Surrey, the highest amount of carbon dioxide emissions</w:t>
      </w:r>
      <w:r w:rsidR="004B6735">
        <w:t xml:space="preserve"> results</w:t>
      </w:r>
      <w:r>
        <w:t xml:space="preserve"> from transport</w:t>
      </w:r>
      <w:r w:rsidR="004B6735">
        <w:t xml:space="preserve"> at 2,882 </w:t>
      </w:r>
      <w:r w:rsidR="004B6735" w:rsidRPr="004B6735">
        <w:t>kt CO</w:t>
      </w:r>
      <w:r w:rsidR="004B6735" w:rsidRPr="004B6735">
        <w:rPr>
          <w:vertAlign w:val="superscript"/>
        </w:rPr>
        <w:t>2</w:t>
      </w:r>
      <w:r w:rsidR="004B6735">
        <w:t xml:space="preserve"> in 2019</w:t>
      </w:r>
      <w:r>
        <w:t>. Domestic emissions are the second largest contributors, although the levels of these emissions have been declining steadily since 2014</w:t>
      </w:r>
      <w:r w:rsidR="004B6735">
        <w:t xml:space="preserve"> from 2,285 to 1,927 in 2019</w:t>
      </w:r>
      <w:r>
        <w:t>. Commercial emissions have also declined in Surrey since 2013</w:t>
      </w:r>
      <w:r w:rsidR="004B6735">
        <w:t xml:space="preserve"> from 1,143 to 555 in 2019</w:t>
      </w:r>
      <w:r>
        <w:t xml:space="preserve">. </w:t>
      </w:r>
    </w:p>
    <w:p w14:paraId="21A9E34B" w14:textId="77777777" w:rsidR="008F37EB" w:rsidRDefault="008F37EB" w:rsidP="003578E8"/>
    <w:p w14:paraId="1A2F1C88" w14:textId="586932F0" w:rsidR="00D71D29" w:rsidRPr="00D679C2" w:rsidRDefault="00D679C2" w:rsidP="003578E8">
      <w:pPr>
        <w:rPr>
          <w:b/>
          <w:bCs/>
        </w:rPr>
      </w:pPr>
      <w:r w:rsidRPr="00D679C2">
        <w:rPr>
          <w:b/>
          <w:bCs/>
        </w:rPr>
        <w:t xml:space="preserve">Estimates of territorial CO2 emissions estimates in Surrey from 2005 to 2019 – </w:t>
      </w:r>
      <w:r w:rsidRPr="00D679C2">
        <w:rPr>
          <w:b/>
          <w:bCs/>
          <w:i/>
          <w:iCs/>
        </w:rPr>
        <w:t>including</w:t>
      </w:r>
      <w:r w:rsidRPr="00D679C2">
        <w:rPr>
          <w:b/>
          <w:bCs/>
        </w:rPr>
        <w:t xml:space="preserve"> large industrial sites, railways, </w:t>
      </w:r>
      <w:proofErr w:type="gramStart"/>
      <w:r w:rsidRPr="00D679C2">
        <w:rPr>
          <w:b/>
          <w:bCs/>
        </w:rPr>
        <w:t>motorways</w:t>
      </w:r>
      <w:proofErr w:type="gramEnd"/>
      <w:r w:rsidRPr="00D679C2">
        <w:rPr>
          <w:b/>
          <w:bCs/>
        </w:rPr>
        <w:t xml:space="preserve"> and land-use</w:t>
      </w:r>
    </w:p>
    <w:p w14:paraId="5EE5BB0F" w14:textId="579AD05B" w:rsidR="003578E8" w:rsidRDefault="003578E8">
      <w:r>
        <w:rPr>
          <w:noProof/>
        </w:rPr>
        <w:drawing>
          <wp:inline distT="0" distB="0" distL="0" distR="0" wp14:anchorId="25846F5D" wp14:editId="5D11929E">
            <wp:extent cx="5702935" cy="3419475"/>
            <wp:effectExtent l="0" t="0" r="0" b="0"/>
            <wp:docPr id="4" name="Chart 4">
              <a:extLst xmlns:a="http://schemas.openxmlformats.org/drawingml/2006/main">
                <a:ext uri="{FF2B5EF4-FFF2-40B4-BE49-F238E27FC236}">
                  <a16:creationId xmlns:a16="http://schemas.microsoft.com/office/drawing/2014/main" id="{7F063B79-CC54-4F09-94D0-90AF70FC4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DA61984" w14:textId="77777777" w:rsidR="008F37EB" w:rsidRDefault="008F37EB"/>
    <w:p w14:paraId="289A269B" w14:textId="69940C44" w:rsidR="008F37EB" w:rsidRDefault="008F37EB">
      <w:r>
        <w:t>The following graph uses the same colours in the previous graph to categorise each specific contributor of carbon emission, i.e., transport is in purple. Although the largest total carbon dioxide emissions w</w:t>
      </w:r>
      <w:r w:rsidR="007A037C">
        <w:t>ere</w:t>
      </w:r>
      <w:r>
        <w:t xml:space="preserve"> from transport, the largest individual contributor for 2019 in Surrey was domestic gas (1,391 kt). This was followed by motorways (1,047 kt), A roads (925 kt), and minor roads (840 kt). </w:t>
      </w:r>
    </w:p>
    <w:p w14:paraId="75BF5592" w14:textId="77777777" w:rsidR="008F37EB" w:rsidRDefault="008F37EB">
      <w:pPr>
        <w:sectPr w:rsidR="008F37EB">
          <w:headerReference w:type="default" r:id="rId8"/>
          <w:footerReference w:type="default" r:id="rId9"/>
          <w:pgSz w:w="11906" w:h="16838"/>
          <w:pgMar w:top="1440" w:right="1440" w:bottom="1440" w:left="1440" w:header="708" w:footer="708" w:gutter="0"/>
          <w:cols w:space="708"/>
          <w:docGrid w:linePitch="360"/>
        </w:sectPr>
      </w:pPr>
    </w:p>
    <w:p w14:paraId="28ACCA88" w14:textId="2261D5D3" w:rsidR="004B6735" w:rsidRPr="00D679C2" w:rsidRDefault="004B6735" w:rsidP="004B6735">
      <w:pPr>
        <w:rPr>
          <w:b/>
          <w:bCs/>
        </w:rPr>
      </w:pPr>
      <w:r w:rsidRPr="00D679C2">
        <w:rPr>
          <w:b/>
          <w:bCs/>
        </w:rPr>
        <w:lastRenderedPageBreak/>
        <w:t xml:space="preserve">Estimates of territorial CO2 emissions estimates in Surrey from 2005 to 2019 </w:t>
      </w:r>
      <w:r>
        <w:rPr>
          <w:b/>
          <w:bCs/>
        </w:rPr>
        <w:t xml:space="preserve">by producer </w:t>
      </w:r>
      <w:r w:rsidRPr="00D679C2">
        <w:rPr>
          <w:b/>
          <w:bCs/>
        </w:rPr>
        <w:t xml:space="preserve">– </w:t>
      </w:r>
      <w:r w:rsidRPr="00D679C2">
        <w:rPr>
          <w:b/>
          <w:bCs/>
          <w:i/>
          <w:iCs/>
        </w:rPr>
        <w:t>including</w:t>
      </w:r>
      <w:r w:rsidRPr="00D679C2">
        <w:rPr>
          <w:b/>
          <w:bCs/>
        </w:rPr>
        <w:t xml:space="preserve"> large industrial sites, railways, </w:t>
      </w:r>
      <w:proofErr w:type="gramStart"/>
      <w:r w:rsidRPr="00D679C2">
        <w:rPr>
          <w:b/>
          <w:bCs/>
        </w:rPr>
        <w:t>motorways</w:t>
      </w:r>
      <w:proofErr w:type="gramEnd"/>
      <w:r w:rsidRPr="00D679C2">
        <w:rPr>
          <w:b/>
          <w:bCs/>
        </w:rPr>
        <w:t xml:space="preserve"> and land-use</w:t>
      </w:r>
    </w:p>
    <w:p w14:paraId="414A7E63" w14:textId="5DA01F45" w:rsidR="003578E8" w:rsidRDefault="003578E8">
      <w:r>
        <w:rPr>
          <w:noProof/>
        </w:rPr>
        <w:drawing>
          <wp:inline distT="0" distB="0" distL="0" distR="0" wp14:anchorId="7EA4EE42" wp14:editId="1271FEAA">
            <wp:extent cx="5731510" cy="2943225"/>
            <wp:effectExtent l="0" t="0" r="2540" b="0"/>
            <wp:docPr id="5" name="Chart 5">
              <a:extLst xmlns:a="http://schemas.openxmlformats.org/drawingml/2006/main">
                <a:ext uri="{FF2B5EF4-FFF2-40B4-BE49-F238E27FC236}">
                  <a16:creationId xmlns:a16="http://schemas.microsoft.com/office/drawing/2014/main" id="{4CD7411A-5D7F-487E-B89F-516BD6BA6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F6E85D" w14:textId="75986689" w:rsidR="008F37EB" w:rsidRDefault="008F37EB" w:rsidP="00D71D29">
      <w:r>
        <w:t xml:space="preserve">The </w:t>
      </w:r>
      <w:r w:rsidR="001036D7">
        <w:t xml:space="preserve">data about </w:t>
      </w:r>
      <w:r>
        <w:t>total emissions are also produced per capita</w:t>
      </w:r>
      <w:r w:rsidR="001036D7">
        <w:t xml:space="preserve"> (emissions </w:t>
      </w:r>
      <w:r>
        <w:t>per population</w:t>
      </w:r>
      <w:r w:rsidR="001036D7">
        <w:t>)</w:t>
      </w:r>
      <w:r>
        <w:t>. Surrey per capita emissions were slightly higher than the South East at 4.79 compared to 4.41 in 2019</w:t>
      </w:r>
      <w:r w:rsidR="001036D7">
        <w:t xml:space="preserve"> (including large industrial sites, railways, </w:t>
      </w:r>
      <w:proofErr w:type="gramStart"/>
      <w:r w:rsidR="001036D7">
        <w:t>motorways</w:t>
      </w:r>
      <w:proofErr w:type="gramEnd"/>
      <w:r w:rsidR="001036D7">
        <w:t xml:space="preserve"> and land-use)</w:t>
      </w:r>
      <w:r>
        <w:t xml:space="preserve">. </w:t>
      </w:r>
      <w:r w:rsidR="001036D7">
        <w:t xml:space="preserve">Runnymede has the highest per capita carbon dioxide emissions at 6.47 kt per capita, compared to the lowest at 2.92 kt per capita in Epsom and Ewell.  </w:t>
      </w:r>
    </w:p>
    <w:p w14:paraId="12502FEA" w14:textId="77777777" w:rsidR="00D71D29" w:rsidRDefault="00D71D29" w:rsidP="00D71D29">
      <w:pPr>
        <w:rPr>
          <w:b/>
          <w:bCs/>
        </w:rPr>
      </w:pPr>
    </w:p>
    <w:p w14:paraId="369E48B4" w14:textId="2C3FD222" w:rsidR="00D71D29" w:rsidRDefault="00D71D29" w:rsidP="00D71D29">
      <w:r w:rsidRPr="00030322">
        <w:rPr>
          <w:b/>
          <w:bCs/>
        </w:rPr>
        <w:t>Estimates of territorial CO2 emissions in Surrey</w:t>
      </w:r>
      <w:r>
        <w:rPr>
          <w:b/>
          <w:bCs/>
        </w:rPr>
        <w:t xml:space="preserve"> in </w:t>
      </w:r>
      <w:r w:rsidRPr="00030322">
        <w:rPr>
          <w:b/>
          <w:bCs/>
        </w:rPr>
        <w:t>2019</w:t>
      </w:r>
      <w:r>
        <w:rPr>
          <w:b/>
          <w:bCs/>
        </w:rPr>
        <w:t xml:space="preserve"> – </w:t>
      </w:r>
      <w:r w:rsidRPr="00D71D29">
        <w:rPr>
          <w:b/>
          <w:bCs/>
          <w:i/>
          <w:iCs/>
        </w:rPr>
        <w:t xml:space="preserve">including </w:t>
      </w:r>
      <w:r>
        <w:rPr>
          <w:b/>
          <w:bCs/>
        </w:rPr>
        <w:t xml:space="preserve">large industrial sites, railways, </w:t>
      </w:r>
      <w:proofErr w:type="gramStart"/>
      <w:r>
        <w:rPr>
          <w:b/>
          <w:bCs/>
        </w:rPr>
        <w:t>motorways</w:t>
      </w:r>
      <w:proofErr w:type="gramEnd"/>
      <w:r>
        <w:rPr>
          <w:b/>
          <w:bCs/>
        </w:rPr>
        <w:t xml:space="preserve"> and land-use</w:t>
      </w:r>
      <w:r>
        <w:rPr>
          <w:noProof/>
        </w:rPr>
        <w:drawing>
          <wp:inline distT="0" distB="0" distL="0" distR="0" wp14:anchorId="3AA02599" wp14:editId="076EF9E8">
            <wp:extent cx="5731510" cy="3420000"/>
            <wp:effectExtent l="0" t="0" r="2540" b="0"/>
            <wp:docPr id="1" name="Chart 1">
              <a:extLst xmlns:a="http://schemas.openxmlformats.org/drawingml/2006/main">
                <a:ext uri="{FF2B5EF4-FFF2-40B4-BE49-F238E27FC236}">
                  <a16:creationId xmlns:a16="http://schemas.microsoft.com/office/drawing/2014/main" id="{084056CA-20A0-4FE5-860E-B1E28A5643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F0141A" w14:textId="42F56720" w:rsidR="008F37EB" w:rsidRDefault="001036D7" w:rsidP="00D71D29">
      <w:r>
        <w:lastRenderedPageBreak/>
        <w:t>After excluding large industrial sites, railways, motorways and land-use, Runnymede no longer ha</w:t>
      </w:r>
      <w:r w:rsidR="00D4474D">
        <w:t>d</w:t>
      </w:r>
      <w:r>
        <w:t xml:space="preserve"> the highest carbon dioxide emissions per capita</w:t>
      </w:r>
      <w:r w:rsidR="00D4474D">
        <w:t xml:space="preserve"> in 2019</w:t>
      </w:r>
      <w:r>
        <w:t xml:space="preserve">. </w:t>
      </w:r>
      <w:r w:rsidR="00D4474D">
        <w:t xml:space="preserve">When excluding such emissions, Guildford had the highest per capita emissions in 2019 at 4.9 kt per capita and Epsom and Ewell had the lowest at 2.9 kt per capita. </w:t>
      </w:r>
    </w:p>
    <w:p w14:paraId="7157F322" w14:textId="77777777" w:rsidR="00D71D29" w:rsidRDefault="00D71D29" w:rsidP="00D71D29"/>
    <w:p w14:paraId="56176612" w14:textId="77777777" w:rsidR="00D71D29" w:rsidRPr="00030322" w:rsidRDefault="00D71D29" w:rsidP="00D71D29">
      <w:pPr>
        <w:rPr>
          <w:b/>
          <w:bCs/>
        </w:rPr>
      </w:pPr>
      <w:r w:rsidRPr="00030322">
        <w:rPr>
          <w:b/>
          <w:bCs/>
        </w:rPr>
        <w:t>Estimates of territorial CO2 emissions in Surrey</w:t>
      </w:r>
      <w:r>
        <w:rPr>
          <w:b/>
          <w:bCs/>
        </w:rPr>
        <w:t xml:space="preserve"> in </w:t>
      </w:r>
      <w:r w:rsidRPr="00030322">
        <w:rPr>
          <w:b/>
          <w:bCs/>
        </w:rPr>
        <w:t>2019</w:t>
      </w:r>
      <w:r>
        <w:rPr>
          <w:b/>
          <w:bCs/>
        </w:rPr>
        <w:t xml:space="preserve"> – </w:t>
      </w:r>
      <w:r w:rsidRPr="00D71D29">
        <w:rPr>
          <w:b/>
          <w:bCs/>
          <w:i/>
          <w:iCs/>
        </w:rPr>
        <w:t xml:space="preserve">not </w:t>
      </w:r>
      <w:r>
        <w:rPr>
          <w:b/>
          <w:bCs/>
        </w:rPr>
        <w:t xml:space="preserve">including large industrial sites, railways, </w:t>
      </w:r>
      <w:proofErr w:type="gramStart"/>
      <w:r>
        <w:rPr>
          <w:b/>
          <w:bCs/>
        </w:rPr>
        <w:t>motorways</w:t>
      </w:r>
      <w:proofErr w:type="gramEnd"/>
      <w:r>
        <w:rPr>
          <w:b/>
          <w:bCs/>
        </w:rPr>
        <w:t xml:space="preserve"> and land-use</w:t>
      </w:r>
    </w:p>
    <w:p w14:paraId="5AB3B128" w14:textId="77777777" w:rsidR="00D71D29" w:rsidRDefault="00D71D29" w:rsidP="00D71D29">
      <w:r>
        <w:rPr>
          <w:noProof/>
        </w:rPr>
        <w:drawing>
          <wp:inline distT="0" distB="0" distL="0" distR="0" wp14:anchorId="20DD4523" wp14:editId="13812F36">
            <wp:extent cx="5731510" cy="3420000"/>
            <wp:effectExtent l="0" t="0" r="2540" b="0"/>
            <wp:docPr id="2" name="Chart 2">
              <a:extLst xmlns:a="http://schemas.openxmlformats.org/drawingml/2006/main">
                <a:ext uri="{FF2B5EF4-FFF2-40B4-BE49-F238E27FC236}">
                  <a16:creationId xmlns:a16="http://schemas.microsoft.com/office/drawing/2014/main" id="{B45456AA-0AA4-4D39-9257-33243AD5B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ED2AE7" w14:textId="0DF7D8F7" w:rsidR="00D71D29" w:rsidRDefault="00D71D29"/>
    <w:p w14:paraId="064D159C" w14:textId="77777777" w:rsidR="00542FA0" w:rsidRDefault="00542FA0"/>
    <w:p w14:paraId="04290BB8" w14:textId="5969BC24" w:rsidR="007A2DCE" w:rsidRDefault="007A2DCE" w:rsidP="00542FA0">
      <w:r>
        <w:t>The following graphs presents the per capita carbon dioxide emissions from domestic sources for 2019 across the local authorities in Surrey. The domestic electricity CO</w:t>
      </w:r>
      <w:r w:rsidRPr="00222A47">
        <w:rPr>
          <w:vertAlign w:val="superscript"/>
        </w:rPr>
        <w:t>2</w:t>
      </w:r>
      <w:r>
        <w:t xml:space="preserve"> emissions were slightly higher in Surrey at 0.38 in 2019 compared to the South East </w:t>
      </w:r>
      <w:proofErr w:type="gramStart"/>
      <w:r>
        <w:t>as a whole at</w:t>
      </w:r>
      <w:proofErr w:type="gramEnd"/>
      <w:r>
        <w:t xml:space="preserve"> 0.35. </w:t>
      </w:r>
      <w:r w:rsidR="00222A47">
        <w:t>Elmbridge</w:t>
      </w:r>
      <w:r>
        <w:t xml:space="preserve">, </w:t>
      </w:r>
      <w:r w:rsidR="00222A47">
        <w:t>Mole Valley, Surrey Heath, Tandridge, Waverley, and Woking</w:t>
      </w:r>
      <w:r>
        <w:t xml:space="preserve"> had higher domestic electricity per capita emissions that the South East </w:t>
      </w:r>
      <w:r w:rsidR="00222A47">
        <w:t>average</w:t>
      </w:r>
      <w:r>
        <w:t xml:space="preserve">. </w:t>
      </w:r>
      <w:r w:rsidR="00222A47">
        <w:t xml:space="preserve">Epsom and Ewell had the lowest domestic electricity carbon dioxide emissions per capita </w:t>
      </w:r>
      <w:r w:rsidR="00776FD1">
        <w:t xml:space="preserve">in Surrey in 2019 (0.33 kt per capita). </w:t>
      </w:r>
      <w:r>
        <w:t xml:space="preserve">Every local authority in Surrey had higher domestic gas per capita emissions than the South East (the Surrey per capita emissions were 1.16 compared to 0.94 for the South East). </w:t>
      </w:r>
      <w:r w:rsidR="00222A47">
        <w:t xml:space="preserve">Elmbridge had the highest per capita domestic gas emissions in Surrey for 2019 at 1.34 kt per capita compared to Runnymede with the lowest at 1.01 kt per capita. The Surrey carbon dioxide emissions from domestic ‘other fuels’ per capita was lower (0.07 kt per capita) than for the South East (0.12 kt per capita) in 2019. </w:t>
      </w:r>
      <w:r>
        <w:t xml:space="preserve"> </w:t>
      </w:r>
    </w:p>
    <w:p w14:paraId="4B634291" w14:textId="502BA5CC" w:rsidR="007A2DCE" w:rsidRDefault="007A2DCE" w:rsidP="00542FA0">
      <w:pPr>
        <w:sectPr w:rsidR="007A2DCE">
          <w:pgSz w:w="11906" w:h="16838"/>
          <w:pgMar w:top="1440" w:right="1440" w:bottom="1440" w:left="1440" w:header="708" w:footer="708" w:gutter="0"/>
          <w:cols w:space="708"/>
          <w:docGrid w:linePitch="360"/>
        </w:sectPr>
      </w:pPr>
    </w:p>
    <w:p w14:paraId="1053E977" w14:textId="35B343E6" w:rsidR="00542FA0" w:rsidRPr="00030322" w:rsidRDefault="00542FA0" w:rsidP="00542FA0">
      <w:pPr>
        <w:rPr>
          <w:b/>
          <w:bCs/>
        </w:rPr>
      </w:pPr>
      <w:r w:rsidRPr="00030322">
        <w:rPr>
          <w:b/>
          <w:bCs/>
        </w:rPr>
        <w:lastRenderedPageBreak/>
        <w:t>Estimates of</w:t>
      </w:r>
      <w:r>
        <w:rPr>
          <w:b/>
          <w:bCs/>
        </w:rPr>
        <w:t xml:space="preserve"> per capita domestic</w:t>
      </w:r>
      <w:r w:rsidRPr="00030322">
        <w:rPr>
          <w:b/>
          <w:bCs/>
        </w:rPr>
        <w:t xml:space="preserve"> territorial CO2 emissions </w:t>
      </w:r>
      <w:r>
        <w:rPr>
          <w:b/>
          <w:bCs/>
        </w:rPr>
        <w:t xml:space="preserve">in </w:t>
      </w:r>
      <w:r w:rsidRPr="00030322">
        <w:rPr>
          <w:b/>
          <w:bCs/>
        </w:rPr>
        <w:t>2019</w:t>
      </w:r>
      <w:r>
        <w:rPr>
          <w:b/>
          <w:bCs/>
        </w:rPr>
        <w:t>, by local authority</w:t>
      </w:r>
    </w:p>
    <w:p w14:paraId="68E3018A" w14:textId="05AD6CFB" w:rsidR="00222A47" w:rsidRDefault="00222A47">
      <w:r>
        <w:rPr>
          <w:noProof/>
        </w:rPr>
        <w:drawing>
          <wp:inline distT="0" distB="0" distL="0" distR="0" wp14:anchorId="693A864A" wp14:editId="56FF16F2">
            <wp:extent cx="5731510" cy="3943350"/>
            <wp:effectExtent l="0" t="0" r="2540" b="0"/>
            <wp:docPr id="8" name="Chart 8">
              <a:extLst xmlns:a="http://schemas.openxmlformats.org/drawingml/2006/main">
                <a:ext uri="{FF2B5EF4-FFF2-40B4-BE49-F238E27FC236}">
                  <a16:creationId xmlns:a16="http://schemas.microsoft.com/office/drawing/2014/main" id="{739125A6-123F-4759-9EED-139C5CF17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sectPr w:rsidR="00222A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ABD18" w14:textId="77777777" w:rsidR="00295E1E" w:rsidRDefault="00295E1E" w:rsidP="00295E1E">
      <w:pPr>
        <w:spacing w:after="0" w:line="240" w:lineRule="auto"/>
      </w:pPr>
      <w:r>
        <w:separator/>
      </w:r>
    </w:p>
  </w:endnote>
  <w:endnote w:type="continuationSeparator" w:id="0">
    <w:p w14:paraId="44697A39" w14:textId="77777777" w:rsidR="00295E1E" w:rsidRDefault="00295E1E" w:rsidP="00295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950751"/>
      <w:docPartObj>
        <w:docPartGallery w:val="Page Numbers (Bottom of Page)"/>
        <w:docPartUnique/>
      </w:docPartObj>
    </w:sdtPr>
    <w:sdtEndPr>
      <w:rPr>
        <w:noProof/>
      </w:rPr>
    </w:sdtEndPr>
    <w:sdtContent>
      <w:p w14:paraId="5A7693B4" w14:textId="24BE4A39" w:rsidR="00295E1E" w:rsidRDefault="00295E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A9DAD9" w14:textId="77777777" w:rsidR="00295E1E" w:rsidRDefault="00295E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DDC86" w14:textId="77777777" w:rsidR="00295E1E" w:rsidRDefault="00295E1E" w:rsidP="00295E1E">
      <w:pPr>
        <w:spacing w:after="0" w:line="240" w:lineRule="auto"/>
      </w:pPr>
      <w:r>
        <w:separator/>
      </w:r>
    </w:p>
  </w:footnote>
  <w:footnote w:type="continuationSeparator" w:id="0">
    <w:p w14:paraId="4DCDBABE" w14:textId="77777777" w:rsidR="00295E1E" w:rsidRDefault="00295E1E" w:rsidP="00295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CB7C" w14:textId="77777777" w:rsidR="00295E1E" w:rsidRDefault="00295E1E" w:rsidP="00295E1E">
    <w:pPr>
      <w:pStyle w:val="Header"/>
      <w:jc w:val="right"/>
      <w:rPr>
        <w:color w:val="808080" w:themeColor="background1" w:themeShade="80"/>
        <w:sz w:val="18"/>
        <w:szCs w:val="18"/>
      </w:rPr>
    </w:pPr>
    <w:r w:rsidRPr="00C772DF">
      <w:rPr>
        <w:color w:val="808080" w:themeColor="background1" w:themeShade="80"/>
        <w:sz w:val="18"/>
        <w:szCs w:val="18"/>
      </w:rPr>
      <w:t>Produced by the Population Insight Team</w:t>
    </w:r>
  </w:p>
  <w:p w14:paraId="56D551C7" w14:textId="77777777" w:rsidR="00295E1E" w:rsidRPr="00C772DF" w:rsidRDefault="00295E1E" w:rsidP="00295E1E">
    <w:pPr>
      <w:pStyle w:val="Header"/>
      <w:jc w:val="right"/>
      <w:rPr>
        <w:color w:val="808080" w:themeColor="background1" w:themeShade="80"/>
        <w:sz w:val="18"/>
        <w:szCs w:val="18"/>
      </w:rPr>
    </w:pPr>
    <w:r w:rsidRPr="00C772DF">
      <w:rPr>
        <w:color w:val="808080" w:themeColor="background1" w:themeShade="80"/>
        <w:sz w:val="18"/>
        <w:szCs w:val="18"/>
      </w:rPr>
      <w:t>Surrey County Council</w:t>
    </w:r>
  </w:p>
  <w:p w14:paraId="2C0B3612" w14:textId="77777777" w:rsidR="00295E1E" w:rsidRDefault="00295E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6A7"/>
    <w:rsid w:val="00030322"/>
    <w:rsid w:val="001036D7"/>
    <w:rsid w:val="00222A47"/>
    <w:rsid w:val="00295E1E"/>
    <w:rsid w:val="003578E8"/>
    <w:rsid w:val="004B6735"/>
    <w:rsid w:val="0051145E"/>
    <w:rsid w:val="00542FA0"/>
    <w:rsid w:val="007337D9"/>
    <w:rsid w:val="00776FD1"/>
    <w:rsid w:val="007A037C"/>
    <w:rsid w:val="007A2DCE"/>
    <w:rsid w:val="008D0A11"/>
    <w:rsid w:val="008F37EB"/>
    <w:rsid w:val="00AC061D"/>
    <w:rsid w:val="00B146A7"/>
    <w:rsid w:val="00BB2BEB"/>
    <w:rsid w:val="00CA222F"/>
    <w:rsid w:val="00D4474D"/>
    <w:rsid w:val="00D679C2"/>
    <w:rsid w:val="00D71D29"/>
    <w:rsid w:val="00DA1E20"/>
    <w:rsid w:val="00EE0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75431"/>
  <w15:chartTrackingRefBased/>
  <w15:docId w15:val="{B2513B17-088C-4709-965A-912E5707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78E8"/>
    <w:rPr>
      <w:color w:val="0563C1" w:themeColor="hyperlink"/>
      <w:u w:val="single"/>
    </w:rPr>
  </w:style>
  <w:style w:type="character" w:styleId="UnresolvedMention">
    <w:name w:val="Unresolved Mention"/>
    <w:basedOn w:val="DefaultParagraphFont"/>
    <w:uiPriority w:val="99"/>
    <w:semiHidden/>
    <w:unhideWhenUsed/>
    <w:rsid w:val="003578E8"/>
    <w:rPr>
      <w:color w:val="605E5C"/>
      <w:shd w:val="clear" w:color="auto" w:fill="E1DFDD"/>
    </w:rPr>
  </w:style>
  <w:style w:type="paragraph" w:styleId="Header">
    <w:name w:val="header"/>
    <w:basedOn w:val="Normal"/>
    <w:link w:val="HeaderChar"/>
    <w:uiPriority w:val="99"/>
    <w:unhideWhenUsed/>
    <w:rsid w:val="00295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E1E"/>
  </w:style>
  <w:style w:type="paragraph" w:styleId="Footer">
    <w:name w:val="footer"/>
    <w:basedOn w:val="Normal"/>
    <w:link w:val="FooterChar"/>
    <w:uiPriority w:val="99"/>
    <w:unhideWhenUsed/>
    <w:rsid w:val="00295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E1E"/>
  </w:style>
  <w:style w:type="character" w:styleId="FollowedHyperlink">
    <w:name w:val="FollowedHyperlink"/>
    <w:basedOn w:val="DefaultParagraphFont"/>
    <w:uiPriority w:val="99"/>
    <w:semiHidden/>
    <w:unhideWhenUsed/>
    <w:rsid w:val="007A03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5.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chart" Target="charts/chart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urreyi.gov.uk/dataset/emy8l/co2-emission-estimates" TargetMode="External"/><Relationship Id="rId11" Type="http://schemas.openxmlformats.org/officeDocument/2006/relationships/chart" Target="charts/chart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surreycc.local\deptwide\CEO\Insight,%20Analytics%20&amp;%20Intelligence\Population%20Insight%202021%20onwards\Surrey%20i%20updates\Carbon%20dioxide%20emissions%20-\graphs%20local%20CO2%20emissions%20-%202005-2019%20DO%20NOT%20UPLOA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urreycc.local\deptwide\CEO\Insight,%20Analytics%20&amp;%20Intelligence\Population%20Insight%202021%20onwards\Surrey%20i%20updates\Carbon%20dioxide%20emissions%20-\graphs%20local%20CO2%20emissions%20-%202005-2019%20DO%20NOT%20UPLOA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urreycc.local\deptwide\CEO\Insight,%20Analytics%20&amp;%20Intelligence\Population%20Insight%202021%20onwards\Surrey%20i%20updates\Carbon%20dioxide%20emissions%20-\graphs%20local%20CO2%20emissions%20-%202005-2019%20DO%20NOT%20UPLOAD.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7346418993028"/>
          <c:y val="0.15101754124706043"/>
          <c:w val="0.86752873739574443"/>
          <c:h val="0.76836097615457644"/>
        </c:manualLayout>
      </c:layout>
      <c:lineChart>
        <c:grouping val="standard"/>
        <c:varyColors val="0"/>
        <c:ser>
          <c:idx val="0"/>
          <c:order val="0"/>
          <c:tx>
            <c:strRef>
              <c:f>Sheet6!$A$3</c:f>
              <c:strCache>
                <c:ptCount val="1"/>
                <c:pt idx="0">
                  <c:v>Transport Total</c:v>
                </c:pt>
              </c:strCache>
            </c:strRef>
          </c:tx>
          <c:spPr>
            <a:ln w="28575" cap="rnd">
              <a:solidFill>
                <a:schemeClr val="accent4"/>
              </a:solidFill>
              <a:round/>
            </a:ln>
            <a:effectLst/>
          </c:spPr>
          <c:marker>
            <c:symbol val="none"/>
          </c:marker>
          <c:cat>
            <c:numRef>
              <c:f>Sheet6!$B$2:$P$2</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Sheet6!$B$3:$P$3</c:f>
              <c:numCache>
                <c:formatCode>0</c:formatCode>
                <c:ptCount val="15"/>
                <c:pt idx="0">
                  <c:v>3448.3469526975737</c:v>
                </c:pt>
                <c:pt idx="1">
                  <c:v>3421.0549649461746</c:v>
                </c:pt>
                <c:pt idx="2">
                  <c:v>3412.6075240545274</c:v>
                </c:pt>
                <c:pt idx="3">
                  <c:v>3265.7407140294672</c:v>
                </c:pt>
                <c:pt idx="4">
                  <c:v>3151.1570071334759</c:v>
                </c:pt>
                <c:pt idx="5">
                  <c:v>3102.8584187684414</c:v>
                </c:pt>
                <c:pt idx="6">
                  <c:v>3085.4527006000794</c:v>
                </c:pt>
                <c:pt idx="7">
                  <c:v>3032.9300918467088</c:v>
                </c:pt>
                <c:pt idx="8">
                  <c:v>2991.9615954822984</c:v>
                </c:pt>
                <c:pt idx="9">
                  <c:v>3041.9002862410434</c:v>
                </c:pt>
                <c:pt idx="10">
                  <c:v>3102.7421300698838</c:v>
                </c:pt>
                <c:pt idx="11">
                  <c:v>3144.7791825591198</c:v>
                </c:pt>
                <c:pt idx="12">
                  <c:v>3056.0171873736672</c:v>
                </c:pt>
                <c:pt idx="13">
                  <c:v>2986.127708534364</c:v>
                </c:pt>
                <c:pt idx="14">
                  <c:v>2881.5745598202384</c:v>
                </c:pt>
              </c:numCache>
            </c:numRef>
          </c:val>
          <c:smooth val="0"/>
          <c:extLst>
            <c:ext xmlns:c16="http://schemas.microsoft.com/office/drawing/2014/chart" uri="{C3380CC4-5D6E-409C-BE32-E72D297353CC}">
              <c16:uniqueId val="{00000000-AF02-4CE9-8EE5-8F98EBCC6DC9}"/>
            </c:ext>
          </c:extLst>
        </c:ser>
        <c:ser>
          <c:idx val="1"/>
          <c:order val="1"/>
          <c:tx>
            <c:strRef>
              <c:f>Sheet6!$A$4</c:f>
              <c:strCache>
                <c:ptCount val="1"/>
                <c:pt idx="0">
                  <c:v>Domestic Total</c:v>
                </c:pt>
              </c:strCache>
            </c:strRef>
          </c:tx>
          <c:spPr>
            <a:ln w="28575" cap="rnd">
              <a:solidFill>
                <a:srgbClr val="0070C0"/>
              </a:solidFill>
              <a:prstDash val="lgDash"/>
              <a:round/>
            </a:ln>
            <a:effectLst/>
          </c:spPr>
          <c:marker>
            <c:symbol val="none"/>
          </c:marker>
          <c:cat>
            <c:numRef>
              <c:f>Sheet6!$B$2:$P$2</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Sheet6!$B$4:$P$4</c:f>
              <c:numCache>
                <c:formatCode>0</c:formatCode>
                <c:ptCount val="15"/>
                <c:pt idx="0">
                  <c:v>2987.2769569833576</c:v>
                </c:pt>
                <c:pt idx="1">
                  <c:v>2988.3826745209185</c:v>
                </c:pt>
                <c:pt idx="2">
                  <c:v>2916.4098549528489</c:v>
                </c:pt>
                <c:pt idx="3">
                  <c:v>2951.3524282732255</c:v>
                </c:pt>
                <c:pt idx="4">
                  <c:v>2685.0827639827976</c:v>
                </c:pt>
                <c:pt idx="5">
                  <c:v>2884.0469828294667</c:v>
                </c:pt>
                <c:pt idx="6">
                  <c:v>2539.7588176787617</c:v>
                </c:pt>
                <c:pt idx="7">
                  <c:v>2753.2941942729294</c:v>
                </c:pt>
                <c:pt idx="8">
                  <c:v>2705.9802985132801</c:v>
                </c:pt>
                <c:pt idx="9">
                  <c:v>2285.0824926637752</c:v>
                </c:pt>
                <c:pt idx="10">
                  <c:v>2230.7106756525868</c:v>
                </c:pt>
                <c:pt idx="11">
                  <c:v>2105.5086556945107</c:v>
                </c:pt>
                <c:pt idx="12">
                  <c:v>1966.5825058317891</c:v>
                </c:pt>
                <c:pt idx="13">
                  <c:v>1983.0679805112518</c:v>
                </c:pt>
                <c:pt idx="14">
                  <c:v>1927.4835375641317</c:v>
                </c:pt>
              </c:numCache>
            </c:numRef>
          </c:val>
          <c:smooth val="0"/>
          <c:extLst>
            <c:ext xmlns:c16="http://schemas.microsoft.com/office/drawing/2014/chart" uri="{C3380CC4-5D6E-409C-BE32-E72D297353CC}">
              <c16:uniqueId val="{00000001-AF02-4CE9-8EE5-8F98EBCC6DC9}"/>
            </c:ext>
          </c:extLst>
        </c:ser>
        <c:ser>
          <c:idx val="2"/>
          <c:order val="2"/>
          <c:tx>
            <c:strRef>
              <c:f>Sheet6!$A$5</c:f>
              <c:strCache>
                <c:ptCount val="1"/>
                <c:pt idx="0">
                  <c:v>Commercial Total</c:v>
                </c:pt>
              </c:strCache>
            </c:strRef>
          </c:tx>
          <c:spPr>
            <a:ln w="28575" cap="rnd">
              <a:solidFill>
                <a:srgbClr val="FFC000"/>
              </a:solidFill>
              <a:prstDash val="dashDot"/>
              <a:round/>
            </a:ln>
            <a:effectLst/>
          </c:spPr>
          <c:marker>
            <c:symbol val="none"/>
          </c:marker>
          <c:cat>
            <c:numRef>
              <c:f>Sheet6!$B$2:$P$2</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Sheet6!$B$5:$P$5</c:f>
              <c:numCache>
                <c:formatCode>0</c:formatCode>
                <c:ptCount val="15"/>
                <c:pt idx="0">
                  <c:v>1231.039603948177</c:v>
                </c:pt>
                <c:pt idx="1">
                  <c:v>1246.573482113349</c:v>
                </c:pt>
                <c:pt idx="2">
                  <c:v>1222.763140379519</c:v>
                </c:pt>
                <c:pt idx="3">
                  <c:v>1262.5537509048218</c:v>
                </c:pt>
                <c:pt idx="4">
                  <c:v>1145.3640228804945</c:v>
                </c:pt>
                <c:pt idx="5">
                  <c:v>1198.5344394996989</c:v>
                </c:pt>
                <c:pt idx="6">
                  <c:v>1136.9928876864485</c:v>
                </c:pt>
                <c:pt idx="7">
                  <c:v>1184.9341121911857</c:v>
                </c:pt>
                <c:pt idx="8">
                  <c:v>1143.1941802151694</c:v>
                </c:pt>
                <c:pt idx="9">
                  <c:v>961.36362645055851</c:v>
                </c:pt>
                <c:pt idx="10">
                  <c:v>819.43296911565164</c:v>
                </c:pt>
                <c:pt idx="11">
                  <c:v>667.82416125914426</c:v>
                </c:pt>
                <c:pt idx="12">
                  <c:v>637.88873345468346</c:v>
                </c:pt>
                <c:pt idx="13">
                  <c:v>626.06548123902098</c:v>
                </c:pt>
                <c:pt idx="14">
                  <c:v>554.69018227426523</c:v>
                </c:pt>
              </c:numCache>
            </c:numRef>
          </c:val>
          <c:smooth val="0"/>
          <c:extLst>
            <c:ext xmlns:c16="http://schemas.microsoft.com/office/drawing/2014/chart" uri="{C3380CC4-5D6E-409C-BE32-E72D297353CC}">
              <c16:uniqueId val="{00000002-AF02-4CE9-8EE5-8F98EBCC6DC9}"/>
            </c:ext>
          </c:extLst>
        </c:ser>
        <c:ser>
          <c:idx val="3"/>
          <c:order val="3"/>
          <c:tx>
            <c:strRef>
              <c:f>Sheet6!$A$6</c:f>
              <c:strCache>
                <c:ptCount val="1"/>
                <c:pt idx="0">
                  <c:v>Industry Total</c:v>
                </c:pt>
              </c:strCache>
            </c:strRef>
          </c:tx>
          <c:spPr>
            <a:ln w="28575" cap="rnd">
              <a:solidFill>
                <a:schemeClr val="accent6">
                  <a:lumMod val="75000"/>
                </a:schemeClr>
              </a:solidFill>
              <a:prstDash val="dash"/>
              <a:round/>
            </a:ln>
            <a:effectLst/>
          </c:spPr>
          <c:marker>
            <c:symbol val="none"/>
          </c:marker>
          <c:cat>
            <c:numRef>
              <c:f>Sheet6!$B$2:$P$2</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Sheet6!$B$6:$P$6</c:f>
              <c:numCache>
                <c:formatCode>0</c:formatCode>
                <c:ptCount val="15"/>
                <c:pt idx="0">
                  <c:v>755.43511262832214</c:v>
                </c:pt>
                <c:pt idx="1">
                  <c:v>754.80516415232921</c:v>
                </c:pt>
                <c:pt idx="2">
                  <c:v>746.98301269949582</c:v>
                </c:pt>
                <c:pt idx="3">
                  <c:v>753.93115221910773</c:v>
                </c:pt>
                <c:pt idx="4">
                  <c:v>680.4342057506409</c:v>
                </c:pt>
                <c:pt idx="5">
                  <c:v>718.48944050945727</c:v>
                </c:pt>
                <c:pt idx="6">
                  <c:v>656.00373671476177</c:v>
                </c:pt>
                <c:pt idx="7">
                  <c:v>637.82517642459629</c:v>
                </c:pt>
                <c:pt idx="8">
                  <c:v>579.40775398257017</c:v>
                </c:pt>
                <c:pt idx="9">
                  <c:v>534.44175676799898</c:v>
                </c:pt>
                <c:pt idx="10">
                  <c:v>511.73714743859261</c:v>
                </c:pt>
                <c:pt idx="11">
                  <c:v>474.93386329213774</c:v>
                </c:pt>
                <c:pt idx="12">
                  <c:v>439.92532372817431</c:v>
                </c:pt>
                <c:pt idx="13">
                  <c:v>440.84660131668613</c:v>
                </c:pt>
                <c:pt idx="14">
                  <c:v>408.2546633175773</c:v>
                </c:pt>
              </c:numCache>
            </c:numRef>
          </c:val>
          <c:smooth val="0"/>
          <c:extLst>
            <c:ext xmlns:c16="http://schemas.microsoft.com/office/drawing/2014/chart" uri="{C3380CC4-5D6E-409C-BE32-E72D297353CC}">
              <c16:uniqueId val="{00000003-AF02-4CE9-8EE5-8F98EBCC6DC9}"/>
            </c:ext>
          </c:extLst>
        </c:ser>
        <c:ser>
          <c:idx val="4"/>
          <c:order val="4"/>
          <c:tx>
            <c:strRef>
              <c:f>Sheet6!$A$7</c:f>
              <c:strCache>
                <c:ptCount val="1"/>
                <c:pt idx="0">
                  <c:v>Public Sector Total</c:v>
                </c:pt>
              </c:strCache>
            </c:strRef>
          </c:tx>
          <c:spPr>
            <a:ln w="28575" cap="rnd">
              <a:solidFill>
                <a:schemeClr val="accent5">
                  <a:lumMod val="75000"/>
                </a:schemeClr>
              </a:solidFill>
              <a:prstDash val="sysDot"/>
              <a:round/>
            </a:ln>
            <a:effectLst/>
          </c:spPr>
          <c:marker>
            <c:symbol val="none"/>
          </c:marker>
          <c:cat>
            <c:numRef>
              <c:f>Sheet6!$B$2:$P$2</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Sheet6!$B$7:$P$7</c:f>
              <c:numCache>
                <c:formatCode>0</c:formatCode>
                <c:ptCount val="15"/>
                <c:pt idx="0">
                  <c:v>375.58484325575586</c:v>
                </c:pt>
                <c:pt idx="1">
                  <c:v>363.43715859332269</c:v>
                </c:pt>
                <c:pt idx="2">
                  <c:v>353.29387794588337</c:v>
                </c:pt>
                <c:pt idx="3">
                  <c:v>360.17335828570316</c:v>
                </c:pt>
                <c:pt idx="4">
                  <c:v>324.33951600597408</c:v>
                </c:pt>
                <c:pt idx="5">
                  <c:v>345.45436057070447</c:v>
                </c:pt>
                <c:pt idx="6">
                  <c:v>304.39273079334089</c:v>
                </c:pt>
                <c:pt idx="7">
                  <c:v>331.41456378871504</c:v>
                </c:pt>
                <c:pt idx="8">
                  <c:v>318.87553816983865</c:v>
                </c:pt>
                <c:pt idx="9">
                  <c:v>273.77694080099599</c:v>
                </c:pt>
                <c:pt idx="10">
                  <c:v>295.06328316642725</c:v>
                </c:pt>
                <c:pt idx="11">
                  <c:v>260.6716534611574</c:v>
                </c:pt>
                <c:pt idx="12">
                  <c:v>209.81242737488054</c:v>
                </c:pt>
                <c:pt idx="13">
                  <c:v>218.98067574565184</c:v>
                </c:pt>
                <c:pt idx="14">
                  <c:v>191.92229165057819</c:v>
                </c:pt>
              </c:numCache>
            </c:numRef>
          </c:val>
          <c:smooth val="0"/>
          <c:extLst>
            <c:ext xmlns:c16="http://schemas.microsoft.com/office/drawing/2014/chart" uri="{C3380CC4-5D6E-409C-BE32-E72D297353CC}">
              <c16:uniqueId val="{00000004-AF02-4CE9-8EE5-8F98EBCC6DC9}"/>
            </c:ext>
          </c:extLst>
        </c:ser>
        <c:dLbls>
          <c:showLegendKey val="0"/>
          <c:showVal val="0"/>
          <c:showCatName val="0"/>
          <c:showSerName val="0"/>
          <c:showPercent val="0"/>
          <c:showBubbleSize val="0"/>
        </c:dLbls>
        <c:smooth val="0"/>
        <c:axId val="1570969760"/>
        <c:axId val="1570968928"/>
      </c:lineChart>
      <c:catAx>
        <c:axId val="157096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70968928"/>
        <c:crosses val="autoZero"/>
        <c:auto val="1"/>
        <c:lblAlgn val="ctr"/>
        <c:lblOffset val="100"/>
        <c:noMultiLvlLbl val="0"/>
      </c:catAx>
      <c:valAx>
        <c:axId val="1570968928"/>
        <c:scaling>
          <c:orientation val="minMax"/>
          <c:max val="3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CO2 emissions (kt)</a:t>
                </a:r>
                <a:r>
                  <a:rPr lang="en-GB" baseline="0"/>
                  <a:t> (includes large industrial sites, railways, motorways and land-use)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70969760"/>
        <c:crosses val="autoZero"/>
        <c:crossBetween val="between"/>
      </c:valAx>
      <c:spPr>
        <a:noFill/>
        <a:ln>
          <a:noFill/>
        </a:ln>
        <a:effectLst/>
      </c:spPr>
    </c:plotArea>
    <c:legend>
      <c:legendPos val="t"/>
      <c:layout>
        <c:manualLayout>
          <c:xMode val="edge"/>
          <c:yMode val="edge"/>
          <c:x val="0.23458797969817297"/>
          <c:y val="2.2284122562674095E-2"/>
          <c:w val="0.66443945091430989"/>
          <c:h val="0.119778036102033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Sheet4!$A$3</c:f>
              <c:strCache>
                <c:ptCount val="1"/>
                <c:pt idx="0">
                  <c:v>2019</c:v>
                </c:pt>
              </c:strCache>
            </c:strRef>
          </c:tx>
          <c:spPr>
            <a:solidFill>
              <a:schemeClr val="tx2">
                <a:lumMod val="20000"/>
                <a:lumOff val="80000"/>
              </a:schemeClr>
            </a:solidFill>
            <a:ln>
              <a:solidFill>
                <a:schemeClr val="tx1"/>
              </a:solidFill>
            </a:ln>
            <a:effectLst/>
          </c:spPr>
          <c:invertIfNegative val="0"/>
          <c:dPt>
            <c:idx val="0"/>
            <c:invertIfNegative val="0"/>
            <c:bubble3D val="0"/>
            <c:spPr>
              <a:solidFill>
                <a:schemeClr val="accent3">
                  <a:lumMod val="40000"/>
                  <a:lumOff val="60000"/>
                </a:schemeClr>
              </a:solidFill>
              <a:ln>
                <a:solidFill>
                  <a:schemeClr val="tx1"/>
                </a:solidFill>
              </a:ln>
              <a:effectLst/>
            </c:spPr>
            <c:extLst>
              <c:ext xmlns:c16="http://schemas.microsoft.com/office/drawing/2014/chart" uri="{C3380CC4-5D6E-409C-BE32-E72D297353CC}">
                <c16:uniqueId val="{00000001-749E-44C2-90B7-358B55E00719}"/>
              </c:ext>
            </c:extLst>
          </c:dPt>
          <c:dPt>
            <c:idx val="1"/>
            <c:invertIfNegative val="0"/>
            <c:bubble3D val="0"/>
            <c:spPr>
              <a:solidFill>
                <a:srgbClr val="FFFFCC"/>
              </a:solidFill>
              <a:ln>
                <a:solidFill>
                  <a:schemeClr val="tx1"/>
                </a:solidFill>
              </a:ln>
              <a:effectLst/>
            </c:spPr>
            <c:extLst>
              <c:ext xmlns:c16="http://schemas.microsoft.com/office/drawing/2014/chart" uri="{C3380CC4-5D6E-409C-BE32-E72D297353CC}">
                <c16:uniqueId val="{00000003-749E-44C2-90B7-358B55E00719}"/>
              </c:ext>
            </c:extLst>
          </c:dPt>
          <c:dPt>
            <c:idx val="2"/>
            <c:invertIfNegative val="0"/>
            <c:bubble3D val="0"/>
            <c:spPr>
              <a:solidFill>
                <a:schemeClr val="accent6">
                  <a:lumMod val="40000"/>
                  <a:lumOff val="60000"/>
                </a:schemeClr>
              </a:solidFill>
              <a:ln>
                <a:solidFill>
                  <a:schemeClr val="tx1"/>
                </a:solidFill>
              </a:ln>
              <a:effectLst/>
            </c:spPr>
            <c:extLst>
              <c:ext xmlns:c16="http://schemas.microsoft.com/office/drawing/2014/chart" uri="{C3380CC4-5D6E-409C-BE32-E72D297353CC}">
                <c16:uniqueId val="{00000005-749E-44C2-90B7-358B55E00719}"/>
              </c:ext>
            </c:extLst>
          </c:dPt>
          <c:dPt>
            <c:idx val="3"/>
            <c:invertIfNegative val="0"/>
            <c:bubble3D val="0"/>
            <c:spPr>
              <a:solidFill>
                <a:schemeClr val="accent6">
                  <a:lumMod val="40000"/>
                  <a:lumOff val="60000"/>
                </a:schemeClr>
              </a:solidFill>
              <a:ln>
                <a:solidFill>
                  <a:schemeClr val="tx1"/>
                </a:solidFill>
              </a:ln>
              <a:effectLst/>
            </c:spPr>
            <c:extLst>
              <c:ext xmlns:c16="http://schemas.microsoft.com/office/drawing/2014/chart" uri="{C3380CC4-5D6E-409C-BE32-E72D297353CC}">
                <c16:uniqueId val="{00000007-749E-44C2-90B7-358B55E00719}"/>
              </c:ext>
            </c:extLst>
          </c:dPt>
          <c:dPt>
            <c:idx val="4"/>
            <c:invertIfNegative val="0"/>
            <c:bubble3D val="0"/>
            <c:spPr>
              <a:solidFill>
                <a:schemeClr val="accent4">
                  <a:lumMod val="40000"/>
                  <a:lumOff val="60000"/>
                </a:schemeClr>
              </a:solidFill>
              <a:ln>
                <a:solidFill>
                  <a:schemeClr val="tx1"/>
                </a:solidFill>
              </a:ln>
              <a:effectLst/>
            </c:spPr>
            <c:extLst>
              <c:ext xmlns:c16="http://schemas.microsoft.com/office/drawing/2014/chart" uri="{C3380CC4-5D6E-409C-BE32-E72D297353CC}">
                <c16:uniqueId val="{00000009-749E-44C2-90B7-358B55E00719}"/>
              </c:ext>
            </c:extLst>
          </c:dPt>
          <c:dPt>
            <c:idx val="5"/>
            <c:invertIfNegative val="0"/>
            <c:bubble3D val="0"/>
            <c:spPr>
              <a:solidFill>
                <a:schemeClr val="accent4">
                  <a:lumMod val="40000"/>
                  <a:lumOff val="60000"/>
                </a:schemeClr>
              </a:solidFill>
              <a:ln>
                <a:solidFill>
                  <a:schemeClr val="tx1"/>
                </a:solidFill>
              </a:ln>
              <a:effectLst/>
            </c:spPr>
            <c:extLst>
              <c:ext xmlns:c16="http://schemas.microsoft.com/office/drawing/2014/chart" uri="{C3380CC4-5D6E-409C-BE32-E72D297353CC}">
                <c16:uniqueId val="{0000000B-749E-44C2-90B7-358B55E00719}"/>
              </c:ext>
            </c:extLst>
          </c:dPt>
          <c:dPt>
            <c:idx val="6"/>
            <c:invertIfNegative val="0"/>
            <c:bubble3D val="0"/>
            <c:spPr>
              <a:solidFill>
                <a:schemeClr val="accent6">
                  <a:lumMod val="40000"/>
                  <a:lumOff val="60000"/>
                </a:schemeClr>
              </a:solidFill>
              <a:ln>
                <a:solidFill>
                  <a:schemeClr val="tx1"/>
                </a:solidFill>
              </a:ln>
              <a:effectLst/>
            </c:spPr>
            <c:extLst>
              <c:ext xmlns:c16="http://schemas.microsoft.com/office/drawing/2014/chart" uri="{C3380CC4-5D6E-409C-BE32-E72D297353CC}">
                <c16:uniqueId val="{0000000D-749E-44C2-90B7-358B55E00719}"/>
              </c:ext>
            </c:extLst>
          </c:dPt>
          <c:dPt>
            <c:idx val="7"/>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0F-749E-44C2-90B7-358B55E00719}"/>
              </c:ext>
            </c:extLst>
          </c:dPt>
          <c:dPt>
            <c:idx val="8"/>
            <c:invertIfNegative val="0"/>
            <c:bubble3D val="0"/>
            <c:spPr>
              <a:solidFill>
                <a:srgbClr val="FFFFCC"/>
              </a:solidFill>
              <a:ln>
                <a:solidFill>
                  <a:schemeClr val="tx1"/>
                </a:solidFill>
              </a:ln>
              <a:effectLst/>
            </c:spPr>
            <c:extLst>
              <c:ext xmlns:c16="http://schemas.microsoft.com/office/drawing/2014/chart" uri="{C3380CC4-5D6E-409C-BE32-E72D297353CC}">
                <c16:uniqueId val="{00000011-749E-44C2-90B7-358B55E00719}"/>
              </c:ext>
            </c:extLst>
          </c:dPt>
          <c:dPt>
            <c:idx val="9"/>
            <c:invertIfNegative val="0"/>
            <c:bubble3D val="0"/>
            <c:spPr>
              <a:solidFill>
                <a:schemeClr val="accent5">
                  <a:lumMod val="60000"/>
                  <a:lumOff val="40000"/>
                </a:schemeClr>
              </a:solidFill>
              <a:ln>
                <a:solidFill>
                  <a:schemeClr val="tx1"/>
                </a:solidFill>
              </a:ln>
              <a:effectLst/>
            </c:spPr>
            <c:extLst>
              <c:ext xmlns:c16="http://schemas.microsoft.com/office/drawing/2014/chart" uri="{C3380CC4-5D6E-409C-BE32-E72D297353CC}">
                <c16:uniqueId val="{00000013-749E-44C2-90B7-358B55E00719}"/>
              </c:ext>
            </c:extLst>
          </c:dPt>
          <c:dPt>
            <c:idx val="10"/>
            <c:invertIfNegative val="0"/>
            <c:bubble3D val="0"/>
            <c:spPr>
              <a:solidFill>
                <a:schemeClr val="accent6">
                  <a:lumMod val="40000"/>
                  <a:lumOff val="60000"/>
                </a:schemeClr>
              </a:solidFill>
              <a:ln>
                <a:solidFill>
                  <a:schemeClr val="tx1"/>
                </a:solidFill>
              </a:ln>
              <a:effectLst/>
            </c:spPr>
            <c:extLst>
              <c:ext xmlns:c16="http://schemas.microsoft.com/office/drawing/2014/chart" uri="{C3380CC4-5D6E-409C-BE32-E72D297353CC}">
                <c16:uniqueId val="{00000015-749E-44C2-90B7-358B55E00719}"/>
              </c:ext>
            </c:extLst>
          </c:dPt>
          <c:dPt>
            <c:idx val="11"/>
            <c:invertIfNegative val="0"/>
            <c:bubble3D val="0"/>
            <c:spPr>
              <a:solidFill>
                <a:schemeClr val="accent6">
                  <a:lumMod val="40000"/>
                  <a:lumOff val="60000"/>
                </a:schemeClr>
              </a:solidFill>
              <a:ln>
                <a:solidFill>
                  <a:schemeClr val="tx1"/>
                </a:solidFill>
              </a:ln>
              <a:effectLst/>
            </c:spPr>
            <c:extLst>
              <c:ext xmlns:c16="http://schemas.microsoft.com/office/drawing/2014/chart" uri="{C3380CC4-5D6E-409C-BE32-E72D297353CC}">
                <c16:uniqueId val="{00000017-749E-44C2-90B7-358B55E00719}"/>
              </c:ext>
            </c:extLst>
          </c:dPt>
          <c:dPt>
            <c:idx val="12"/>
            <c:invertIfNegative val="0"/>
            <c:bubble3D val="0"/>
            <c:spPr>
              <a:solidFill>
                <a:srgbClr val="FFFFCC"/>
              </a:solidFill>
              <a:ln>
                <a:solidFill>
                  <a:schemeClr val="tx1"/>
                </a:solidFill>
              </a:ln>
              <a:effectLst/>
            </c:spPr>
            <c:extLst>
              <c:ext xmlns:c16="http://schemas.microsoft.com/office/drawing/2014/chart" uri="{C3380CC4-5D6E-409C-BE32-E72D297353CC}">
                <c16:uniqueId val="{00000019-749E-44C2-90B7-358B55E00719}"/>
              </c:ext>
            </c:extLst>
          </c:dPt>
          <c:dPt>
            <c:idx val="13"/>
            <c:invertIfNegative val="0"/>
            <c:bubble3D val="0"/>
            <c:spPr>
              <a:solidFill>
                <a:srgbClr val="FFFFCC"/>
              </a:solidFill>
              <a:ln>
                <a:solidFill>
                  <a:schemeClr val="tx1"/>
                </a:solidFill>
              </a:ln>
              <a:effectLst/>
            </c:spPr>
            <c:extLst>
              <c:ext xmlns:c16="http://schemas.microsoft.com/office/drawing/2014/chart" uri="{C3380CC4-5D6E-409C-BE32-E72D297353CC}">
                <c16:uniqueId val="{0000001B-749E-44C2-90B7-358B55E00719}"/>
              </c:ext>
            </c:extLst>
          </c:dPt>
          <c:dPt>
            <c:idx val="15"/>
            <c:invertIfNegative val="0"/>
            <c:bubble3D val="0"/>
            <c:spPr>
              <a:solidFill>
                <a:schemeClr val="accent4">
                  <a:lumMod val="40000"/>
                  <a:lumOff val="60000"/>
                </a:schemeClr>
              </a:solidFill>
              <a:ln>
                <a:solidFill>
                  <a:schemeClr val="tx1"/>
                </a:solidFill>
              </a:ln>
              <a:effectLst/>
            </c:spPr>
            <c:extLst>
              <c:ext xmlns:c16="http://schemas.microsoft.com/office/drawing/2014/chart" uri="{C3380CC4-5D6E-409C-BE32-E72D297353CC}">
                <c16:uniqueId val="{0000001D-749E-44C2-90B7-358B55E00719}"/>
              </c:ext>
            </c:extLst>
          </c:dPt>
          <c:dPt>
            <c:idx val="16"/>
            <c:invertIfNegative val="0"/>
            <c:bubble3D val="0"/>
            <c:spPr>
              <a:solidFill>
                <a:schemeClr val="accent4">
                  <a:lumMod val="40000"/>
                  <a:lumOff val="60000"/>
                </a:schemeClr>
              </a:solidFill>
              <a:ln>
                <a:solidFill>
                  <a:schemeClr val="tx1"/>
                </a:solidFill>
              </a:ln>
              <a:effectLst/>
            </c:spPr>
            <c:extLst>
              <c:ext xmlns:c16="http://schemas.microsoft.com/office/drawing/2014/chart" uri="{C3380CC4-5D6E-409C-BE32-E72D297353CC}">
                <c16:uniqueId val="{0000001F-749E-44C2-90B7-358B55E00719}"/>
              </c:ext>
            </c:extLst>
          </c:dPt>
          <c:dPt>
            <c:idx val="17"/>
            <c:invertIfNegative val="0"/>
            <c:bubble3D val="0"/>
            <c:spPr>
              <a:solidFill>
                <a:schemeClr val="accent4">
                  <a:lumMod val="40000"/>
                  <a:lumOff val="60000"/>
                </a:schemeClr>
              </a:solidFill>
              <a:ln>
                <a:solidFill>
                  <a:schemeClr val="tx1"/>
                </a:solidFill>
              </a:ln>
              <a:effectLst/>
            </c:spPr>
            <c:extLst>
              <c:ext xmlns:c16="http://schemas.microsoft.com/office/drawing/2014/chart" uri="{C3380CC4-5D6E-409C-BE32-E72D297353CC}">
                <c16:uniqueId val="{00000021-749E-44C2-90B7-358B55E00719}"/>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Sheet4!$B$4:$B$22</c:f>
              <c:strCache>
                <c:ptCount val="19"/>
                <c:pt idx="0">
                  <c:v>Public Sector 'Other Fuels'</c:v>
                </c:pt>
                <c:pt idx="1">
                  <c:v>Commercial 'Other Fuels'</c:v>
                </c:pt>
                <c:pt idx="2">
                  <c:v>Large Industrial Installations</c:v>
                </c:pt>
                <c:pt idx="3">
                  <c:v>Agriculture</c:v>
                </c:pt>
                <c:pt idx="4">
                  <c:v>Transport Other</c:v>
                </c:pt>
                <c:pt idx="5">
                  <c:v>Diesel Railways</c:v>
                </c:pt>
                <c:pt idx="6">
                  <c:v>Industry Gas </c:v>
                </c:pt>
                <c:pt idx="7">
                  <c:v>Public Sector Electricity</c:v>
                </c:pt>
                <c:pt idx="8">
                  <c:v>Domestic 'Other Fuels'</c:v>
                </c:pt>
                <c:pt idx="9">
                  <c:v>Public Sector Gas </c:v>
                </c:pt>
                <c:pt idx="10">
                  <c:v>Industry Electricity</c:v>
                </c:pt>
                <c:pt idx="11">
                  <c:v>Industry 'Other Fuels'</c:v>
                </c:pt>
                <c:pt idx="12">
                  <c:v>Commercial Gas </c:v>
                </c:pt>
                <c:pt idx="13">
                  <c:v>Commercial Electricity</c:v>
                </c:pt>
                <c:pt idx="14">
                  <c:v>Domestic Electricity</c:v>
                </c:pt>
                <c:pt idx="15">
                  <c:v>Road Transport (Minor roads)</c:v>
                </c:pt>
                <c:pt idx="16">
                  <c:v>Road Transport (A roads)</c:v>
                </c:pt>
                <c:pt idx="17">
                  <c:v>Road Transport (Motorways)</c:v>
                </c:pt>
                <c:pt idx="18">
                  <c:v>Domestic Gas</c:v>
                </c:pt>
              </c:strCache>
            </c:strRef>
          </c:cat>
          <c:val>
            <c:numRef>
              <c:f>Sheet4!$A$4:$A$22</c:f>
              <c:numCache>
                <c:formatCode>0</c:formatCode>
                <c:ptCount val="19"/>
                <c:pt idx="0">
                  <c:v>0.88894783362740137</c:v>
                </c:pt>
                <c:pt idx="1">
                  <c:v>3.8603258173649011</c:v>
                </c:pt>
                <c:pt idx="2">
                  <c:v>10.352039852551687</c:v>
                </c:pt>
                <c:pt idx="3">
                  <c:v>29.934929470500496</c:v>
                </c:pt>
                <c:pt idx="4">
                  <c:v>32.476607700566689</c:v>
                </c:pt>
                <c:pt idx="5">
                  <c:v>36.728282487081465</c:v>
                </c:pt>
                <c:pt idx="6">
                  <c:v>58.12282940698433</c:v>
                </c:pt>
                <c:pt idx="7">
                  <c:v>70.514126361327314</c:v>
                </c:pt>
                <c:pt idx="8">
                  <c:v>84.422923100997735</c:v>
                </c:pt>
                <c:pt idx="9">
                  <c:v>120.51921745562346</c:v>
                </c:pt>
                <c:pt idx="10">
                  <c:v>150.4495798107946</c:v>
                </c:pt>
                <c:pt idx="11">
                  <c:v>159.39528477674617</c:v>
                </c:pt>
                <c:pt idx="12">
                  <c:v>212.9936507720457</c:v>
                </c:pt>
                <c:pt idx="13">
                  <c:v>337.83620568485458</c:v>
                </c:pt>
                <c:pt idx="14">
                  <c:v>451.96297860609531</c:v>
                </c:pt>
                <c:pt idx="15">
                  <c:v>840.06137616811259</c:v>
                </c:pt>
                <c:pt idx="16">
                  <c:v>925.19794754580289</c:v>
                </c:pt>
                <c:pt idx="17">
                  <c:v>1047.110345918675</c:v>
                </c:pt>
                <c:pt idx="18">
                  <c:v>1391.0976358570388</c:v>
                </c:pt>
              </c:numCache>
            </c:numRef>
          </c:val>
          <c:extLst>
            <c:ext xmlns:c16="http://schemas.microsoft.com/office/drawing/2014/chart" uri="{C3380CC4-5D6E-409C-BE32-E72D297353CC}">
              <c16:uniqueId val="{00000022-749E-44C2-90B7-358B55E00719}"/>
            </c:ext>
          </c:extLst>
        </c:ser>
        <c:dLbls>
          <c:showLegendKey val="0"/>
          <c:showVal val="0"/>
          <c:showCatName val="0"/>
          <c:showSerName val="0"/>
          <c:showPercent val="0"/>
          <c:showBubbleSize val="0"/>
        </c:dLbls>
        <c:gapWidth val="94"/>
        <c:axId val="1455307376"/>
        <c:axId val="1455307792"/>
      </c:barChart>
      <c:catAx>
        <c:axId val="1455307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55307792"/>
        <c:crosses val="autoZero"/>
        <c:auto val="1"/>
        <c:lblAlgn val="ctr"/>
        <c:lblOffset val="100"/>
        <c:noMultiLvlLbl val="0"/>
      </c:catAx>
      <c:valAx>
        <c:axId val="145530779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455307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 (2)'!$AD$2</c:f>
              <c:strCache>
                <c:ptCount val="1"/>
                <c:pt idx="0">
                  <c:v>Per Capita Emissions (t)</c:v>
                </c:pt>
              </c:strCache>
            </c:strRef>
          </c:tx>
          <c:spPr>
            <a:solidFill>
              <a:schemeClr val="tx2">
                <a:lumMod val="20000"/>
                <a:lumOff val="80000"/>
              </a:schemeClr>
            </a:solidFill>
            <a:ln>
              <a:solidFill>
                <a:schemeClr val="tx2"/>
              </a:solidFill>
            </a:ln>
            <a:effectLst/>
          </c:spPr>
          <c:invertIfNegative val="0"/>
          <c:cat>
            <c:strRef>
              <c:f>'Graph (2)'!$C$17:$C$182</c:f>
              <c:strCache>
                <c:ptCount val="12"/>
                <c:pt idx="0">
                  <c:v>Elmbridge</c:v>
                </c:pt>
                <c:pt idx="1">
                  <c:v>Epsom and Ewell</c:v>
                </c:pt>
                <c:pt idx="2">
                  <c:v>Guildford</c:v>
                </c:pt>
                <c:pt idx="3">
                  <c:v>Mole Valley</c:v>
                </c:pt>
                <c:pt idx="4">
                  <c:v>Reigate and Banstead</c:v>
                </c:pt>
                <c:pt idx="5">
                  <c:v>Runnymede</c:v>
                </c:pt>
                <c:pt idx="6">
                  <c:v>Spelthorne</c:v>
                </c:pt>
                <c:pt idx="7">
                  <c:v>Surrey Heath</c:v>
                </c:pt>
                <c:pt idx="8">
                  <c:v>Tandridge</c:v>
                </c:pt>
                <c:pt idx="9">
                  <c:v>Waverley</c:v>
                </c:pt>
                <c:pt idx="10">
                  <c:v>Woking</c:v>
                </c:pt>
                <c:pt idx="11">
                  <c:v>Surrey Total</c:v>
                </c:pt>
              </c:strCache>
            </c:strRef>
          </c:cat>
          <c:val>
            <c:numRef>
              <c:f>'Graph (2)'!$AK$204:$AK$214</c:f>
              <c:numCache>
                <c:formatCode>0.00</c:formatCode>
                <c:ptCount val="11"/>
                <c:pt idx="0">
                  <c:v>4.699105727310072</c:v>
                </c:pt>
                <c:pt idx="1">
                  <c:v>2.9216965789935756</c:v>
                </c:pt>
                <c:pt idx="2">
                  <c:v>4.7707070373286093</c:v>
                </c:pt>
                <c:pt idx="3">
                  <c:v>5.514786910920721</c:v>
                </c:pt>
                <c:pt idx="4">
                  <c:v>4.7393331435917005</c:v>
                </c:pt>
                <c:pt idx="5">
                  <c:v>6.4704158902178373</c:v>
                </c:pt>
                <c:pt idx="6">
                  <c:v>3.9074673877316801</c:v>
                </c:pt>
                <c:pt idx="7">
                  <c:v>5.8868104537583443</c:v>
                </c:pt>
                <c:pt idx="8">
                  <c:v>6.4017871539527738</c:v>
                </c:pt>
                <c:pt idx="9">
                  <c:v>3.9776716643840353</c:v>
                </c:pt>
                <c:pt idx="10">
                  <c:v>3.8556950516051449</c:v>
                </c:pt>
              </c:numCache>
            </c:numRef>
          </c:val>
          <c:extLst>
            <c:ext xmlns:c16="http://schemas.microsoft.com/office/drawing/2014/chart" uri="{C3380CC4-5D6E-409C-BE32-E72D297353CC}">
              <c16:uniqueId val="{00000000-4C88-441F-9B63-6527A1F0B074}"/>
            </c:ext>
          </c:extLst>
        </c:ser>
        <c:dLbls>
          <c:showLegendKey val="0"/>
          <c:showVal val="0"/>
          <c:showCatName val="0"/>
          <c:showSerName val="0"/>
          <c:showPercent val="0"/>
          <c:showBubbleSize val="0"/>
        </c:dLbls>
        <c:gapWidth val="219"/>
        <c:overlap val="-27"/>
        <c:axId val="1453181856"/>
        <c:axId val="1140756880"/>
      </c:barChart>
      <c:lineChart>
        <c:grouping val="standard"/>
        <c:varyColors val="0"/>
        <c:ser>
          <c:idx val="1"/>
          <c:order val="1"/>
          <c:tx>
            <c:strRef>
              <c:f>'Graph (2)'!$AO$201</c:f>
              <c:strCache>
                <c:ptCount val="1"/>
                <c:pt idx="0">
                  <c:v>Surrey Per Capita Emissions (t)</c:v>
                </c:pt>
              </c:strCache>
            </c:strRef>
          </c:tx>
          <c:spPr>
            <a:ln w="28575" cap="rnd">
              <a:solidFill>
                <a:schemeClr val="tx2"/>
              </a:solidFill>
              <a:prstDash val="sysDot"/>
              <a:round/>
            </a:ln>
            <a:effectLst/>
          </c:spPr>
          <c:marker>
            <c:symbol val="none"/>
          </c:marker>
          <c:val>
            <c:numRef>
              <c:f>'Graph (2)'!$AO$204:$AO$214</c:f>
              <c:numCache>
                <c:formatCode>0.00</c:formatCode>
                <c:ptCount val="11"/>
                <c:pt idx="0">
                  <c:v>4.7859136868660528</c:v>
                </c:pt>
                <c:pt idx="1">
                  <c:v>4.7859136868660528</c:v>
                </c:pt>
                <c:pt idx="2">
                  <c:v>4.7859136868660528</c:v>
                </c:pt>
                <c:pt idx="3">
                  <c:v>4.7859136868660528</c:v>
                </c:pt>
                <c:pt idx="4">
                  <c:v>4.7859136868660528</c:v>
                </c:pt>
                <c:pt idx="5">
                  <c:v>4.7859136868660528</c:v>
                </c:pt>
                <c:pt idx="6">
                  <c:v>4.7859136868660528</c:v>
                </c:pt>
                <c:pt idx="7">
                  <c:v>4.7859136868660528</c:v>
                </c:pt>
                <c:pt idx="8">
                  <c:v>4.7859136868660528</c:v>
                </c:pt>
                <c:pt idx="9">
                  <c:v>4.7859136868660528</c:v>
                </c:pt>
                <c:pt idx="10">
                  <c:v>4.7859136868660528</c:v>
                </c:pt>
              </c:numCache>
            </c:numRef>
          </c:val>
          <c:smooth val="0"/>
          <c:extLst>
            <c:ext xmlns:c16="http://schemas.microsoft.com/office/drawing/2014/chart" uri="{C3380CC4-5D6E-409C-BE32-E72D297353CC}">
              <c16:uniqueId val="{00000001-4C88-441F-9B63-6527A1F0B074}"/>
            </c:ext>
          </c:extLst>
        </c:ser>
        <c:ser>
          <c:idx val="2"/>
          <c:order val="2"/>
          <c:tx>
            <c:strRef>
              <c:f>'Graph (2)'!$AN$201</c:f>
              <c:strCache>
                <c:ptCount val="1"/>
                <c:pt idx="0">
                  <c:v>South East Per Capita Emissions (t)</c:v>
                </c:pt>
              </c:strCache>
            </c:strRef>
          </c:tx>
          <c:spPr>
            <a:ln w="28575" cap="rnd">
              <a:solidFill>
                <a:schemeClr val="tx2"/>
              </a:solidFill>
              <a:prstDash val="dash"/>
              <a:round/>
            </a:ln>
            <a:effectLst/>
          </c:spPr>
          <c:marker>
            <c:symbol val="none"/>
          </c:marker>
          <c:val>
            <c:numRef>
              <c:f>'Graph (2)'!$AN$204:$AN$214</c:f>
              <c:numCache>
                <c:formatCode>0.00</c:formatCode>
                <c:ptCount val="11"/>
                <c:pt idx="0">
                  <c:v>4.4125613238178074</c:v>
                </c:pt>
                <c:pt idx="1">
                  <c:v>4.4125613238178074</c:v>
                </c:pt>
                <c:pt idx="2">
                  <c:v>4.4125613238178074</c:v>
                </c:pt>
                <c:pt idx="3">
                  <c:v>4.4125613238178074</c:v>
                </c:pt>
                <c:pt idx="4">
                  <c:v>4.4125613238178074</c:v>
                </c:pt>
                <c:pt idx="5">
                  <c:v>4.4125613238178074</c:v>
                </c:pt>
                <c:pt idx="6">
                  <c:v>4.4125613238178074</c:v>
                </c:pt>
                <c:pt idx="7">
                  <c:v>4.4125613238178074</c:v>
                </c:pt>
                <c:pt idx="8">
                  <c:v>4.4125613238178074</c:v>
                </c:pt>
                <c:pt idx="9">
                  <c:v>4.4125613238178074</c:v>
                </c:pt>
                <c:pt idx="10">
                  <c:v>4.4125613238178074</c:v>
                </c:pt>
              </c:numCache>
            </c:numRef>
          </c:val>
          <c:smooth val="0"/>
          <c:extLst>
            <c:ext xmlns:c16="http://schemas.microsoft.com/office/drawing/2014/chart" uri="{C3380CC4-5D6E-409C-BE32-E72D297353CC}">
              <c16:uniqueId val="{00000002-4C88-441F-9B63-6527A1F0B074}"/>
            </c:ext>
          </c:extLst>
        </c:ser>
        <c:dLbls>
          <c:showLegendKey val="0"/>
          <c:showVal val="0"/>
          <c:showCatName val="0"/>
          <c:showSerName val="0"/>
          <c:showPercent val="0"/>
          <c:showBubbleSize val="0"/>
        </c:dLbls>
        <c:marker val="1"/>
        <c:smooth val="0"/>
        <c:axId val="1453181856"/>
        <c:axId val="1140756880"/>
      </c:lineChart>
      <c:catAx>
        <c:axId val="145318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40756880"/>
        <c:crosses val="autoZero"/>
        <c:auto val="1"/>
        <c:lblAlgn val="ctr"/>
        <c:lblOffset val="100"/>
        <c:noMultiLvlLbl val="0"/>
      </c:catAx>
      <c:valAx>
        <c:axId val="1140756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Per capita</a:t>
                </a:r>
                <a:r>
                  <a:rPr lang="en-GB" baseline="0">
                    <a:solidFill>
                      <a:schemeClr val="tx1"/>
                    </a:solidFill>
                  </a:rPr>
                  <a:t> CO2 emissions in 2019 (includes large industrial sites, railways, motorways and land-use)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53181856"/>
        <c:crosses val="autoZero"/>
        <c:crossBetween val="between"/>
      </c:valAx>
      <c:spPr>
        <a:noFill/>
        <a:ln>
          <a:noFill/>
        </a:ln>
        <a:effectLst/>
      </c:spPr>
    </c:plotArea>
    <c:legend>
      <c:legendPos val="t"/>
      <c:layout>
        <c:manualLayout>
          <c:xMode val="edge"/>
          <c:yMode val="edge"/>
          <c:x val="2.5823910278443201E-2"/>
          <c:y val="4.5766590389016017E-2"/>
          <c:w val="0.9705103890597766"/>
          <c:h val="7.12910974140906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Graph!$AD$2</c:f>
              <c:strCache>
                <c:ptCount val="1"/>
                <c:pt idx="0">
                  <c:v>Per Capita Emissions (t)</c:v>
                </c:pt>
              </c:strCache>
            </c:strRef>
          </c:tx>
          <c:spPr>
            <a:solidFill>
              <a:schemeClr val="tx2">
                <a:lumMod val="20000"/>
                <a:lumOff val="80000"/>
              </a:schemeClr>
            </a:solidFill>
            <a:ln>
              <a:solidFill>
                <a:schemeClr val="tx2"/>
              </a:solidFill>
            </a:ln>
            <a:effectLst/>
          </c:spPr>
          <c:invertIfNegative val="0"/>
          <c:cat>
            <c:strRef>
              <c:f>Graph!$C$17:$C$182</c:f>
              <c:strCache>
                <c:ptCount val="12"/>
                <c:pt idx="0">
                  <c:v>Elmbridge</c:v>
                </c:pt>
                <c:pt idx="1">
                  <c:v>Epsom and Ewell</c:v>
                </c:pt>
                <c:pt idx="2">
                  <c:v>Guildford</c:v>
                </c:pt>
                <c:pt idx="3">
                  <c:v>Mole Valley</c:v>
                </c:pt>
                <c:pt idx="4">
                  <c:v>Reigate and Banstead</c:v>
                </c:pt>
                <c:pt idx="5">
                  <c:v>Runnymede</c:v>
                </c:pt>
                <c:pt idx="6">
                  <c:v>Spelthorne</c:v>
                </c:pt>
                <c:pt idx="7">
                  <c:v>Surrey Heath</c:v>
                </c:pt>
                <c:pt idx="8">
                  <c:v>Tandridge</c:v>
                </c:pt>
                <c:pt idx="9">
                  <c:v>Waverley</c:v>
                </c:pt>
                <c:pt idx="10">
                  <c:v>Woking</c:v>
                </c:pt>
                <c:pt idx="11">
                  <c:v>Surrey Total</c:v>
                </c:pt>
              </c:strCache>
            </c:strRef>
          </c:cat>
          <c:val>
            <c:numRef>
              <c:f>Graph!$AD$17:$AD$167</c:f>
              <c:numCache>
                <c:formatCode>#,##0.0</c:formatCode>
                <c:ptCount val="11"/>
                <c:pt idx="0">
                  <c:v>4.2950360967501089</c:v>
                </c:pt>
                <c:pt idx="1">
                  <c:v>2.8635147189691419</c:v>
                </c:pt>
                <c:pt idx="2">
                  <c:v>4.8884974981567222</c:v>
                </c:pt>
                <c:pt idx="3">
                  <c:v>4.7389492548068537</c:v>
                </c:pt>
                <c:pt idx="4">
                  <c:v>3.7200464456267288</c:v>
                </c:pt>
                <c:pt idx="5">
                  <c:v>3.9127972073769968</c:v>
                </c:pt>
                <c:pt idx="6">
                  <c:v>3.2154913812720771</c:v>
                </c:pt>
                <c:pt idx="7">
                  <c:v>4.5059219692304495</c:v>
                </c:pt>
                <c:pt idx="8">
                  <c:v>3.9192745054290192</c:v>
                </c:pt>
                <c:pt idx="9">
                  <c:v>4.4633007283928947</c:v>
                </c:pt>
                <c:pt idx="10">
                  <c:v>3.6621223415982289</c:v>
                </c:pt>
              </c:numCache>
            </c:numRef>
          </c:val>
          <c:extLst>
            <c:ext xmlns:c16="http://schemas.microsoft.com/office/drawing/2014/chart" uri="{C3380CC4-5D6E-409C-BE32-E72D297353CC}">
              <c16:uniqueId val="{00000000-F5E1-40CB-9F8C-59FD0A346C90}"/>
            </c:ext>
          </c:extLst>
        </c:ser>
        <c:dLbls>
          <c:showLegendKey val="0"/>
          <c:showVal val="0"/>
          <c:showCatName val="0"/>
          <c:showSerName val="0"/>
          <c:showPercent val="0"/>
          <c:showBubbleSize val="0"/>
        </c:dLbls>
        <c:gapWidth val="219"/>
        <c:overlap val="-27"/>
        <c:axId val="1453181856"/>
        <c:axId val="1140756880"/>
      </c:barChart>
      <c:lineChart>
        <c:grouping val="standard"/>
        <c:varyColors val="0"/>
        <c:ser>
          <c:idx val="1"/>
          <c:order val="1"/>
          <c:tx>
            <c:strRef>
              <c:f>Graph!$AG$2</c:f>
              <c:strCache>
                <c:ptCount val="1"/>
                <c:pt idx="0">
                  <c:v>Surrey Per Capita Emissions (t)</c:v>
                </c:pt>
              </c:strCache>
            </c:strRef>
          </c:tx>
          <c:spPr>
            <a:ln w="28575" cap="rnd">
              <a:solidFill>
                <a:schemeClr val="tx2"/>
              </a:solidFill>
              <a:prstDash val="sysDot"/>
              <a:round/>
            </a:ln>
            <a:effectLst/>
          </c:spPr>
          <c:marker>
            <c:symbol val="none"/>
          </c:marker>
          <c:val>
            <c:numRef>
              <c:f>Graph!$AG$17:$AG$181</c:f>
              <c:numCache>
                <c:formatCode>#,##0.0</c:formatCode>
                <c:ptCount val="11"/>
                <c:pt idx="0">
                  <c:v>4.0671709141421397</c:v>
                </c:pt>
                <c:pt idx="1">
                  <c:v>4.0671709141421397</c:v>
                </c:pt>
                <c:pt idx="2">
                  <c:v>4.0671709141421397</c:v>
                </c:pt>
                <c:pt idx="3">
                  <c:v>4.0671709141421397</c:v>
                </c:pt>
                <c:pt idx="4">
                  <c:v>4.0671709141421397</c:v>
                </c:pt>
                <c:pt idx="5">
                  <c:v>4.0671709141421397</c:v>
                </c:pt>
                <c:pt idx="6">
                  <c:v>4.0671709141421397</c:v>
                </c:pt>
                <c:pt idx="7">
                  <c:v>4.0671709141421397</c:v>
                </c:pt>
                <c:pt idx="8">
                  <c:v>4.0671709141421397</c:v>
                </c:pt>
                <c:pt idx="9">
                  <c:v>4.0671709141421397</c:v>
                </c:pt>
                <c:pt idx="10">
                  <c:v>4.0671709141421397</c:v>
                </c:pt>
              </c:numCache>
            </c:numRef>
          </c:val>
          <c:smooth val="0"/>
          <c:extLst>
            <c:ext xmlns:c16="http://schemas.microsoft.com/office/drawing/2014/chart" uri="{C3380CC4-5D6E-409C-BE32-E72D297353CC}">
              <c16:uniqueId val="{00000001-F5E1-40CB-9F8C-59FD0A346C90}"/>
            </c:ext>
          </c:extLst>
        </c:ser>
        <c:ser>
          <c:idx val="2"/>
          <c:order val="2"/>
          <c:tx>
            <c:strRef>
              <c:f>Graph!$AH$2</c:f>
              <c:strCache>
                <c:ptCount val="1"/>
                <c:pt idx="0">
                  <c:v>South East Per Capita Emissions (t)</c:v>
                </c:pt>
              </c:strCache>
            </c:strRef>
          </c:tx>
          <c:spPr>
            <a:ln w="28575" cap="rnd">
              <a:solidFill>
                <a:schemeClr val="tx2"/>
              </a:solidFill>
              <a:prstDash val="dash"/>
              <a:round/>
            </a:ln>
            <a:effectLst/>
          </c:spPr>
          <c:marker>
            <c:symbol val="none"/>
          </c:marker>
          <c:val>
            <c:numRef>
              <c:f>Graph!$AH$17:$AH$167</c:f>
              <c:numCache>
                <c:formatCode>#,##0.0</c:formatCode>
                <c:ptCount val="11"/>
                <c:pt idx="0">
                  <c:v>3.937888691586283</c:v>
                </c:pt>
                <c:pt idx="1">
                  <c:v>3.937888691586283</c:v>
                </c:pt>
                <c:pt idx="2">
                  <c:v>3.937888691586283</c:v>
                </c:pt>
                <c:pt idx="3">
                  <c:v>3.937888691586283</c:v>
                </c:pt>
                <c:pt idx="4">
                  <c:v>3.937888691586283</c:v>
                </c:pt>
                <c:pt idx="5">
                  <c:v>3.937888691586283</c:v>
                </c:pt>
                <c:pt idx="6">
                  <c:v>3.937888691586283</c:v>
                </c:pt>
                <c:pt idx="7">
                  <c:v>3.937888691586283</c:v>
                </c:pt>
                <c:pt idx="8">
                  <c:v>3.937888691586283</c:v>
                </c:pt>
                <c:pt idx="9">
                  <c:v>3.937888691586283</c:v>
                </c:pt>
                <c:pt idx="10">
                  <c:v>3.937888691586283</c:v>
                </c:pt>
              </c:numCache>
            </c:numRef>
          </c:val>
          <c:smooth val="0"/>
          <c:extLst>
            <c:ext xmlns:c16="http://schemas.microsoft.com/office/drawing/2014/chart" uri="{C3380CC4-5D6E-409C-BE32-E72D297353CC}">
              <c16:uniqueId val="{00000002-F5E1-40CB-9F8C-59FD0A346C90}"/>
            </c:ext>
          </c:extLst>
        </c:ser>
        <c:dLbls>
          <c:showLegendKey val="0"/>
          <c:showVal val="0"/>
          <c:showCatName val="0"/>
          <c:showSerName val="0"/>
          <c:showPercent val="0"/>
          <c:showBubbleSize val="0"/>
        </c:dLbls>
        <c:marker val="1"/>
        <c:smooth val="0"/>
        <c:axId val="1453181856"/>
        <c:axId val="1140756880"/>
      </c:lineChart>
      <c:catAx>
        <c:axId val="145318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40756880"/>
        <c:crosses val="autoZero"/>
        <c:auto val="1"/>
        <c:lblAlgn val="ctr"/>
        <c:lblOffset val="100"/>
        <c:noMultiLvlLbl val="0"/>
      </c:catAx>
      <c:valAx>
        <c:axId val="1140756880"/>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Per capita</a:t>
                </a:r>
                <a:r>
                  <a:rPr lang="en-GB" baseline="0">
                    <a:solidFill>
                      <a:schemeClr val="tx1"/>
                    </a:solidFill>
                  </a:rPr>
                  <a:t> CO2 emissions in 2019 (excludes large industrial sites, railways, motorways and land-use)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53181856"/>
        <c:crosses val="autoZero"/>
        <c:crossBetween val="between"/>
        <c:majorUnit val="1"/>
      </c:valAx>
      <c:spPr>
        <a:noFill/>
        <a:ln>
          <a:noFill/>
        </a:ln>
        <a:effectLst/>
      </c:spPr>
    </c:plotArea>
    <c:legend>
      <c:legendPos val="t"/>
      <c:layout>
        <c:manualLayout>
          <c:xMode val="edge"/>
          <c:yMode val="edge"/>
          <c:x val="4.5766298933439892E-2"/>
          <c:y val="2.1621621621621623E-2"/>
          <c:w val="0.93948889559644844"/>
          <c:h val="0.116217067461161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8310829069724E-2"/>
          <c:y val="3.4672970843183611E-2"/>
          <c:w val="0.64405997523665959"/>
          <c:h val="0.72559632173637867"/>
        </c:manualLayout>
      </c:layout>
      <c:barChart>
        <c:barDir val="col"/>
        <c:grouping val="clustered"/>
        <c:varyColors val="0"/>
        <c:ser>
          <c:idx val="0"/>
          <c:order val="0"/>
          <c:tx>
            <c:strRef>
              <c:f>'Full dataset'!$R$8</c:f>
              <c:strCache>
                <c:ptCount val="1"/>
                <c:pt idx="0">
                  <c:v>Domestic Electricity</c:v>
                </c:pt>
              </c:strCache>
            </c:strRef>
          </c:tx>
          <c:spPr>
            <a:solidFill>
              <a:schemeClr val="accent1"/>
            </a:solidFill>
            <a:ln>
              <a:solidFill>
                <a:schemeClr val="accent1">
                  <a:lumMod val="75000"/>
                </a:schemeClr>
              </a:solidFill>
            </a:ln>
            <a:effectLst/>
          </c:spPr>
          <c:invertIfNegative val="0"/>
          <c:cat>
            <c:strRef>
              <c:f>'Full dataset'!$C$206:$C$216</c:f>
              <c:strCache>
                <c:ptCount val="11"/>
                <c:pt idx="0">
                  <c:v>Elmbridge</c:v>
                </c:pt>
                <c:pt idx="1">
                  <c:v>Epsom and Ewell</c:v>
                </c:pt>
                <c:pt idx="2">
                  <c:v>Guildford</c:v>
                </c:pt>
                <c:pt idx="3">
                  <c:v>Mole Valley</c:v>
                </c:pt>
                <c:pt idx="4">
                  <c:v>Reigate and Banstead</c:v>
                </c:pt>
                <c:pt idx="5">
                  <c:v>Runnymede</c:v>
                </c:pt>
                <c:pt idx="6">
                  <c:v>Spelthorne</c:v>
                </c:pt>
                <c:pt idx="7">
                  <c:v>Surrey Heath</c:v>
                </c:pt>
                <c:pt idx="8">
                  <c:v>Tandridge</c:v>
                </c:pt>
                <c:pt idx="9">
                  <c:v>Waverley</c:v>
                </c:pt>
                <c:pt idx="10">
                  <c:v>Woking</c:v>
                </c:pt>
              </c:strCache>
            </c:strRef>
          </c:cat>
          <c:val>
            <c:numRef>
              <c:f>'Full dataset'!$R$206:$R$216</c:f>
              <c:numCache>
                <c:formatCode>0.00</c:formatCode>
                <c:ptCount val="11"/>
                <c:pt idx="0">
                  <c:v>0.42553623852183914</c:v>
                </c:pt>
                <c:pt idx="1">
                  <c:v>0.3342759559499916</c:v>
                </c:pt>
                <c:pt idx="2">
                  <c:v>0.3507180193349681</c:v>
                </c:pt>
                <c:pt idx="3">
                  <c:v>0.41387310378483055</c:v>
                </c:pt>
                <c:pt idx="4">
                  <c:v>0.35813724883118148</c:v>
                </c:pt>
                <c:pt idx="5">
                  <c:v>0.35937997972029817</c:v>
                </c:pt>
                <c:pt idx="6">
                  <c:v>0.35018553786779838</c:v>
                </c:pt>
                <c:pt idx="7">
                  <c:v>0.37026542881754726</c:v>
                </c:pt>
                <c:pt idx="8">
                  <c:v>0.40442084748966345</c:v>
                </c:pt>
                <c:pt idx="9">
                  <c:v>0.40963827011643383</c:v>
                </c:pt>
                <c:pt idx="10">
                  <c:v>0.37309710949950764</c:v>
                </c:pt>
              </c:numCache>
            </c:numRef>
          </c:val>
          <c:extLst>
            <c:ext xmlns:c16="http://schemas.microsoft.com/office/drawing/2014/chart" uri="{C3380CC4-5D6E-409C-BE32-E72D297353CC}">
              <c16:uniqueId val="{00000000-B130-4B2A-BF94-3C1150FB1F20}"/>
            </c:ext>
          </c:extLst>
        </c:ser>
        <c:ser>
          <c:idx val="1"/>
          <c:order val="2"/>
          <c:tx>
            <c:strRef>
              <c:f>'Full dataset'!$S$8</c:f>
              <c:strCache>
                <c:ptCount val="1"/>
                <c:pt idx="0">
                  <c:v>Domestic Gas</c:v>
                </c:pt>
              </c:strCache>
            </c:strRef>
          </c:tx>
          <c:spPr>
            <a:solidFill>
              <a:schemeClr val="accent5">
                <a:lumMod val="60000"/>
                <a:lumOff val="40000"/>
              </a:schemeClr>
            </a:solidFill>
            <a:ln>
              <a:solidFill>
                <a:schemeClr val="accent5">
                  <a:lumMod val="75000"/>
                </a:schemeClr>
              </a:solidFill>
            </a:ln>
            <a:effectLst/>
          </c:spPr>
          <c:invertIfNegative val="0"/>
          <c:cat>
            <c:strRef>
              <c:f>'Full dataset'!$C$206:$C$216</c:f>
              <c:strCache>
                <c:ptCount val="11"/>
                <c:pt idx="0">
                  <c:v>Elmbridge</c:v>
                </c:pt>
                <c:pt idx="1">
                  <c:v>Epsom and Ewell</c:v>
                </c:pt>
                <c:pt idx="2">
                  <c:v>Guildford</c:v>
                </c:pt>
                <c:pt idx="3">
                  <c:v>Mole Valley</c:v>
                </c:pt>
                <c:pt idx="4">
                  <c:v>Reigate and Banstead</c:v>
                </c:pt>
                <c:pt idx="5">
                  <c:v>Runnymede</c:v>
                </c:pt>
                <c:pt idx="6">
                  <c:v>Spelthorne</c:v>
                </c:pt>
                <c:pt idx="7">
                  <c:v>Surrey Heath</c:v>
                </c:pt>
                <c:pt idx="8">
                  <c:v>Tandridge</c:v>
                </c:pt>
                <c:pt idx="9">
                  <c:v>Waverley</c:v>
                </c:pt>
                <c:pt idx="10">
                  <c:v>Woking</c:v>
                </c:pt>
              </c:strCache>
            </c:strRef>
          </c:cat>
          <c:val>
            <c:numRef>
              <c:f>'Full dataset'!$S$206:$S$216</c:f>
              <c:numCache>
                <c:formatCode>0.00</c:formatCode>
                <c:ptCount val="11"/>
                <c:pt idx="0">
                  <c:v>1.3438480559526256</c:v>
                </c:pt>
                <c:pt idx="1">
                  <c:v>1.1546938790235575</c:v>
                </c:pt>
                <c:pt idx="2">
                  <c:v>1.0492146357652987</c:v>
                </c:pt>
                <c:pt idx="3">
                  <c:v>1.2672467919089285</c:v>
                </c:pt>
                <c:pt idx="4">
                  <c:v>1.1772659268339971</c:v>
                </c:pt>
                <c:pt idx="5">
                  <c:v>1.0075374182453913</c:v>
                </c:pt>
                <c:pt idx="6">
                  <c:v>1.02640111370447</c:v>
                </c:pt>
                <c:pt idx="7">
                  <c:v>1.2310721986646611</c:v>
                </c:pt>
                <c:pt idx="8">
                  <c:v>1.2064641902762134</c:v>
                </c:pt>
                <c:pt idx="9">
                  <c:v>1.2269791521673781</c:v>
                </c:pt>
                <c:pt idx="10">
                  <c:v>1.0746126255486592</c:v>
                </c:pt>
              </c:numCache>
            </c:numRef>
          </c:val>
          <c:extLst>
            <c:ext xmlns:c16="http://schemas.microsoft.com/office/drawing/2014/chart" uri="{C3380CC4-5D6E-409C-BE32-E72D297353CC}">
              <c16:uniqueId val="{00000001-B130-4B2A-BF94-3C1150FB1F20}"/>
            </c:ext>
          </c:extLst>
        </c:ser>
        <c:ser>
          <c:idx val="2"/>
          <c:order val="4"/>
          <c:tx>
            <c:strRef>
              <c:f>'Full dataset'!$T$8</c:f>
              <c:strCache>
                <c:ptCount val="1"/>
                <c:pt idx="0">
                  <c:v>Domestic 'Other Fuels'</c:v>
                </c:pt>
              </c:strCache>
            </c:strRef>
          </c:tx>
          <c:spPr>
            <a:solidFill>
              <a:schemeClr val="accent1">
                <a:lumMod val="75000"/>
              </a:schemeClr>
            </a:solidFill>
            <a:ln>
              <a:solidFill>
                <a:schemeClr val="accent1">
                  <a:lumMod val="50000"/>
                </a:schemeClr>
              </a:solidFill>
            </a:ln>
            <a:effectLst/>
          </c:spPr>
          <c:invertIfNegative val="0"/>
          <c:cat>
            <c:strRef>
              <c:f>'Full dataset'!$C$206:$C$216</c:f>
              <c:strCache>
                <c:ptCount val="11"/>
                <c:pt idx="0">
                  <c:v>Elmbridge</c:v>
                </c:pt>
                <c:pt idx="1">
                  <c:v>Epsom and Ewell</c:v>
                </c:pt>
                <c:pt idx="2">
                  <c:v>Guildford</c:v>
                </c:pt>
                <c:pt idx="3">
                  <c:v>Mole Valley</c:v>
                </c:pt>
                <c:pt idx="4">
                  <c:v>Reigate and Banstead</c:v>
                </c:pt>
                <c:pt idx="5">
                  <c:v>Runnymede</c:v>
                </c:pt>
                <c:pt idx="6">
                  <c:v>Spelthorne</c:v>
                </c:pt>
                <c:pt idx="7">
                  <c:v>Surrey Heath</c:v>
                </c:pt>
                <c:pt idx="8">
                  <c:v>Tandridge</c:v>
                </c:pt>
                <c:pt idx="9">
                  <c:v>Waverley</c:v>
                </c:pt>
                <c:pt idx="10">
                  <c:v>Woking</c:v>
                </c:pt>
              </c:strCache>
            </c:strRef>
          </c:cat>
          <c:val>
            <c:numRef>
              <c:f>'Full dataset'!$T$206:$T$216</c:f>
              <c:numCache>
                <c:formatCode>0.00</c:formatCode>
                <c:ptCount val="11"/>
                <c:pt idx="0">
                  <c:v>4.4595060696565547E-2</c:v>
                </c:pt>
                <c:pt idx="1">
                  <c:v>3.3200482064665353E-2</c:v>
                </c:pt>
                <c:pt idx="2">
                  <c:v>8.0547043625886217E-2</c:v>
                </c:pt>
                <c:pt idx="3">
                  <c:v>0.1192038972371533</c:v>
                </c:pt>
                <c:pt idx="4">
                  <c:v>5.1728997233196773E-2</c:v>
                </c:pt>
                <c:pt idx="5">
                  <c:v>5.5207220483978213E-2</c:v>
                </c:pt>
                <c:pt idx="6">
                  <c:v>3.8467985717519144E-2</c:v>
                </c:pt>
                <c:pt idx="7">
                  <c:v>4.4814999469048974E-2</c:v>
                </c:pt>
                <c:pt idx="8">
                  <c:v>0.12649498814935606</c:v>
                </c:pt>
                <c:pt idx="9">
                  <c:v>0.12761491917784842</c:v>
                </c:pt>
                <c:pt idx="10">
                  <c:v>5.4574656036411429E-2</c:v>
                </c:pt>
              </c:numCache>
            </c:numRef>
          </c:val>
          <c:extLst>
            <c:ext xmlns:c16="http://schemas.microsoft.com/office/drawing/2014/chart" uri="{C3380CC4-5D6E-409C-BE32-E72D297353CC}">
              <c16:uniqueId val="{00000002-B130-4B2A-BF94-3C1150FB1F20}"/>
            </c:ext>
          </c:extLst>
        </c:ser>
        <c:dLbls>
          <c:showLegendKey val="0"/>
          <c:showVal val="0"/>
          <c:showCatName val="0"/>
          <c:showSerName val="0"/>
          <c:showPercent val="0"/>
          <c:showBubbleSize val="0"/>
        </c:dLbls>
        <c:gapWidth val="219"/>
        <c:overlap val="-27"/>
        <c:axId val="449344815"/>
        <c:axId val="449345231"/>
      </c:barChart>
      <c:lineChart>
        <c:grouping val="standard"/>
        <c:varyColors val="0"/>
        <c:ser>
          <c:idx val="3"/>
          <c:order val="1"/>
          <c:tx>
            <c:strRef>
              <c:f>'Full dataset'!$U$205</c:f>
              <c:strCache>
                <c:ptCount val="1"/>
                <c:pt idx="0">
                  <c:v>South East Domestic Electricity</c:v>
                </c:pt>
              </c:strCache>
            </c:strRef>
          </c:tx>
          <c:spPr>
            <a:ln w="28575" cap="rnd">
              <a:solidFill>
                <a:schemeClr val="accent1">
                  <a:lumMod val="75000"/>
                </a:schemeClr>
              </a:solidFill>
              <a:prstDash val="dash"/>
              <a:round/>
            </a:ln>
            <a:effectLst/>
          </c:spPr>
          <c:marker>
            <c:symbol val="none"/>
          </c:marker>
          <c:val>
            <c:numRef>
              <c:f>'Full dataset'!$U$206:$U$216</c:f>
              <c:numCache>
                <c:formatCode>0.00</c:formatCode>
                <c:ptCount val="11"/>
                <c:pt idx="0">
                  <c:v>0.35318783980061452</c:v>
                </c:pt>
                <c:pt idx="1">
                  <c:v>0.35318783980061452</c:v>
                </c:pt>
                <c:pt idx="2">
                  <c:v>0.35318783980061452</c:v>
                </c:pt>
                <c:pt idx="3">
                  <c:v>0.35318783980061452</c:v>
                </c:pt>
                <c:pt idx="4">
                  <c:v>0.35318783980061452</c:v>
                </c:pt>
                <c:pt idx="5">
                  <c:v>0.35318783980061452</c:v>
                </c:pt>
                <c:pt idx="6">
                  <c:v>0.35318783980061452</c:v>
                </c:pt>
                <c:pt idx="7">
                  <c:v>0.35318783980061452</c:v>
                </c:pt>
                <c:pt idx="8">
                  <c:v>0.35318783980061452</c:v>
                </c:pt>
                <c:pt idx="9">
                  <c:v>0.35318783980061452</c:v>
                </c:pt>
                <c:pt idx="10">
                  <c:v>0.35318783980061452</c:v>
                </c:pt>
              </c:numCache>
            </c:numRef>
          </c:val>
          <c:smooth val="0"/>
          <c:extLst>
            <c:ext xmlns:c16="http://schemas.microsoft.com/office/drawing/2014/chart" uri="{C3380CC4-5D6E-409C-BE32-E72D297353CC}">
              <c16:uniqueId val="{00000003-B130-4B2A-BF94-3C1150FB1F20}"/>
            </c:ext>
          </c:extLst>
        </c:ser>
        <c:ser>
          <c:idx val="4"/>
          <c:order val="3"/>
          <c:tx>
            <c:strRef>
              <c:f>'Full dataset'!$V$205</c:f>
              <c:strCache>
                <c:ptCount val="1"/>
                <c:pt idx="0">
                  <c:v>South East Domestic Gas</c:v>
                </c:pt>
              </c:strCache>
            </c:strRef>
          </c:tx>
          <c:spPr>
            <a:ln w="28575" cap="rnd">
              <a:solidFill>
                <a:schemeClr val="accent5">
                  <a:lumMod val="75000"/>
                </a:schemeClr>
              </a:solidFill>
              <a:prstDash val="sysDot"/>
              <a:round/>
            </a:ln>
            <a:effectLst/>
          </c:spPr>
          <c:marker>
            <c:symbol val="none"/>
          </c:marker>
          <c:val>
            <c:numRef>
              <c:f>'Full dataset'!$V$206:$V$216</c:f>
              <c:numCache>
                <c:formatCode>0.00</c:formatCode>
                <c:ptCount val="11"/>
                <c:pt idx="0">
                  <c:v>0.94013693078376781</c:v>
                </c:pt>
                <c:pt idx="1">
                  <c:v>0.94013693078376781</c:v>
                </c:pt>
                <c:pt idx="2">
                  <c:v>0.94013693078376781</c:v>
                </c:pt>
                <c:pt idx="3">
                  <c:v>0.94013693078376781</c:v>
                </c:pt>
                <c:pt idx="4">
                  <c:v>0.94013693078376781</c:v>
                </c:pt>
                <c:pt idx="5">
                  <c:v>0.94013693078376781</c:v>
                </c:pt>
                <c:pt idx="6">
                  <c:v>0.94013693078376781</c:v>
                </c:pt>
                <c:pt idx="7">
                  <c:v>0.94013693078376781</c:v>
                </c:pt>
                <c:pt idx="8">
                  <c:v>0.94013693078376781</c:v>
                </c:pt>
                <c:pt idx="9">
                  <c:v>0.94013693078376781</c:v>
                </c:pt>
                <c:pt idx="10">
                  <c:v>0.94013693078376781</c:v>
                </c:pt>
              </c:numCache>
            </c:numRef>
          </c:val>
          <c:smooth val="0"/>
          <c:extLst>
            <c:ext xmlns:c16="http://schemas.microsoft.com/office/drawing/2014/chart" uri="{C3380CC4-5D6E-409C-BE32-E72D297353CC}">
              <c16:uniqueId val="{00000004-B130-4B2A-BF94-3C1150FB1F20}"/>
            </c:ext>
          </c:extLst>
        </c:ser>
        <c:ser>
          <c:idx val="5"/>
          <c:order val="5"/>
          <c:tx>
            <c:strRef>
              <c:f>'Full dataset'!$W$205</c:f>
              <c:strCache>
                <c:ptCount val="1"/>
                <c:pt idx="0">
                  <c:v>South East Domestic 'Other Fuels'</c:v>
                </c:pt>
              </c:strCache>
            </c:strRef>
          </c:tx>
          <c:spPr>
            <a:ln w="28575" cap="rnd">
              <a:solidFill>
                <a:schemeClr val="accent1">
                  <a:lumMod val="50000"/>
                </a:schemeClr>
              </a:solidFill>
              <a:prstDash val="dashDot"/>
              <a:round/>
            </a:ln>
            <a:effectLst/>
          </c:spPr>
          <c:marker>
            <c:symbol val="none"/>
          </c:marker>
          <c:val>
            <c:numRef>
              <c:f>'Full dataset'!$W$206:$W$216</c:f>
              <c:numCache>
                <c:formatCode>0.00</c:formatCode>
                <c:ptCount val="11"/>
                <c:pt idx="0">
                  <c:v>0.11986852855078843</c:v>
                </c:pt>
                <c:pt idx="1">
                  <c:v>0.11986852855078843</c:v>
                </c:pt>
                <c:pt idx="2">
                  <c:v>0.11986852855078843</c:v>
                </c:pt>
                <c:pt idx="3">
                  <c:v>0.11986852855078843</c:v>
                </c:pt>
                <c:pt idx="4">
                  <c:v>0.11986852855078843</c:v>
                </c:pt>
                <c:pt idx="5">
                  <c:v>0.11986852855078843</c:v>
                </c:pt>
                <c:pt idx="6">
                  <c:v>0.11986852855078843</c:v>
                </c:pt>
                <c:pt idx="7">
                  <c:v>0.11986852855078843</c:v>
                </c:pt>
                <c:pt idx="8">
                  <c:v>0.11986852855078843</c:v>
                </c:pt>
                <c:pt idx="9">
                  <c:v>0.11986852855078843</c:v>
                </c:pt>
                <c:pt idx="10">
                  <c:v>0.11986852855078843</c:v>
                </c:pt>
              </c:numCache>
            </c:numRef>
          </c:val>
          <c:smooth val="0"/>
          <c:extLst>
            <c:ext xmlns:c16="http://schemas.microsoft.com/office/drawing/2014/chart" uri="{C3380CC4-5D6E-409C-BE32-E72D297353CC}">
              <c16:uniqueId val="{00000005-B130-4B2A-BF94-3C1150FB1F20}"/>
            </c:ext>
          </c:extLst>
        </c:ser>
        <c:dLbls>
          <c:showLegendKey val="0"/>
          <c:showVal val="0"/>
          <c:showCatName val="0"/>
          <c:showSerName val="0"/>
          <c:showPercent val="0"/>
          <c:showBubbleSize val="0"/>
        </c:dLbls>
        <c:marker val="1"/>
        <c:smooth val="0"/>
        <c:axId val="449344815"/>
        <c:axId val="449345231"/>
      </c:lineChart>
      <c:catAx>
        <c:axId val="449344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9345231"/>
        <c:crosses val="autoZero"/>
        <c:auto val="1"/>
        <c:lblAlgn val="ctr"/>
        <c:lblOffset val="100"/>
        <c:noMultiLvlLbl val="0"/>
      </c:catAx>
      <c:valAx>
        <c:axId val="449345231"/>
        <c:scaling>
          <c:orientation val="minMax"/>
          <c:max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Domestic</a:t>
                </a:r>
                <a:r>
                  <a:rPr lang="en-GB" baseline="0">
                    <a:solidFill>
                      <a:schemeClr val="tx1"/>
                    </a:solidFill>
                  </a:rPr>
                  <a:t> CO2 emissions per capita</a:t>
                </a:r>
                <a:endParaRPr lang="en-GB">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9344815"/>
        <c:crosses val="autoZero"/>
        <c:crossBetween val="between"/>
        <c:majorUnit val="0.2"/>
      </c:valAx>
      <c:spPr>
        <a:noFill/>
        <a:ln>
          <a:noFill/>
        </a:ln>
        <a:effectLst/>
      </c:spPr>
    </c:plotArea>
    <c:legend>
      <c:legendPos val="r"/>
      <c:layout>
        <c:manualLayout>
          <c:xMode val="edge"/>
          <c:yMode val="edge"/>
          <c:x val="0.78258050670765644"/>
          <c:y val="0.13361989171643396"/>
          <c:w val="0.18630838672517147"/>
          <c:h val="0.716314290500921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2645</TotalTime>
  <Pages>4</Pages>
  <Words>513</Words>
  <Characters>2927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Heap</dc:creator>
  <cp:keywords/>
  <dc:description/>
  <cp:lastModifiedBy>Katie Heap</cp:lastModifiedBy>
  <cp:revision>11</cp:revision>
  <cp:lastPrinted>2022-02-02T17:07:00Z</cp:lastPrinted>
  <dcterms:created xsi:type="dcterms:W3CDTF">2022-01-31T14:45:00Z</dcterms:created>
  <dcterms:modified xsi:type="dcterms:W3CDTF">2022-02-03T14:33:00Z</dcterms:modified>
</cp:coreProperties>
</file>